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1824-2015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siguientes apartados del art. 1 de la Ley 2/2014, de 20 de junio, de modificación de la Ley 2/2003, de 30 de enero, de vivienda de Canarias y de medidas para garantizar el derecho a la vivienda: uno (por cuanto modifica el art. 1.2 de la Ley 2/2003); cuatro [por cuanto modifica el art. 4 g) de la Ley 2/2003]; Seis [por cuanto modifica el art. 8.l), m) y n) de la Ley 2/2003]; siete (por cuanto añade un nuevo art. 18.8 en la Ley 2/2003); veintitrés (por cuanto añade un nuevo art. 77 bis en la Ley 2/2003); veinticuatro [por cuanto modifica el art. 78 f) de la Ley 2/2003], veintiséis (por cuanto modifica el título VIII de la Ley 2/2003, arts. 80 a 98) y veintisiete [por cuanto añade los nuevos arts. 106 i) y 99 e) en la Ley 2/2003], así como de las disposiciones adicionales segunda y cuarta de la mencionada Ley 2/2014, de 20 de junio.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marzo de 2015 tuvo entrada en el Registro General del Tribunal Constitucional, un escrito del Abogado del Estado, actuando en la representación que legalmente ostenta, interponiendo recurso de inconstitucionalidad contra los siguientes apartados del art. 1 de la Ley 2/2014, de 20 de junio, de modificación de la Ley 2/2003, de 30 de enero, de vivienda de Canarias y de medidas para garantizar el derecho a la vivienda: 1 (por cuanto modifica el art. 1.2 de la Ley 2/2003); 4 [por cuanto modifica el art. 4 g)] de la Ley 2/2003); 6 [por cuanto modifica el art. 8.l), m) y n) de la Ley 2/2003]; 7 (por cuanto añade un nuevo art. 18.8 en la Ley 2/2003); 23 (por cuanto añade un nuevo art. 77 bis en la Ley 2/2003); 24 [por cuanto modifica el art. 78 f) de la Ley 2/2003], 26 (por cuanto modifica el título VIII de la Ley 2/2003, arts. 80 a 98) y 27 [por cuanto añade los nuevos arts. 106 i) y 99 e) en la Ley 2/2003], así como contra las disposiciones adicionales segunda y cuarta de la mencionada Ley 2/2014, de 20 de junio. Hace invocación expresa del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Sucintamente expuestas, las alegaciones en las que se basa la demanda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el Abogado del Estado, en primer lugar, que se afecta a la regulación del derecho de propiedad, concretamente, a su función social, en cuanto que la disposición impugnada contempla el deber de uso habitacional efectivo y establece consecuencias sancionadoras y expropiatorias para los propietarios de las viviendas libres no destinadas efectivamente al uso habitacional. Esta competencia, sin embargo, corresponde al Estado ex arts. 149.1.1 y 8 CE, ambos en relación con el art. 33 de la norma fundamental. Invoca, en segundo lugar, la vulneración de los arts. 25.1 y 9.3 CE, al establecer un régimen sancionador de carácter objetivo, sin tener en cuenta el principio de culpabilidad ni las razones que pueden justificar la desocupación de la vivienda. Considera, en tercer lugar, que el régimen sancionador, así como la causa expropiandi que la norma impugnada contempla, para cuando no se destinan las viviendas al uso habitacional vulneran el art. 14 CE, en cuanto que sólo están previstos para el supuesto en que la propiedad corresponde a una entidad de crédito. Alega, además, la infracción del principio de proporcionalidad al existir actuaciones alternativas más proporcionadas para hacer frente a la situación de necesidad a la que se refiere el preámbulo de la norma impugnada, sin que se trate de medidas indispensables ni necesarias, y sin que se cumpla el test de proporcionalidad en sentido estricto. Hace, finalmente, alusión a la vulneración de las competencias que atribuyen al Estado los apartados 11 y 13 del art. 149.1 CE, por cuanto las disposiciones impugnadas interfieren y afectan negativamente a la política económica y al sistema bancario y crediticio y ponen en peligro diversos bienes jurídicos, lo que se predica de toda la norma impugnada y, en especial, de la disposición adicional cuarta, y se apoya en los informes del Banco de España y de la Sociedad de gestión de activos procedentes de la reestructuración bancaria (SAREB) que se adjuntan con la demanda. Suplica, en consecuencia, la declaración de inconstitucionalidad de los preceptos mencionados.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14 de abril de 2015, el Pleno del Tribunal Constitucional acordó admitir a trámite el recurso de inconstitucionalidad promovido por el Presidente del Gobierno, contra los apartados del artículo 1 citados en el encabezamiento y las disposiciones adicionales segunda y cuarta de la Ley 2/2014, de 20 de junio, de modificación de la Ley 2/2003, de 30 de enero, de vivienda de Canarias y de medidas para garantizar el derecho a la vivienda; dar traslado de la demanda y documentos para personación y alegaciones al Congreso de los Diputados, al Senado, y al Gobierno y Parlamento de Canarias; tener por invocado el art. 161.2 CE que produce la suspensión y publicar la incoación del recurso en el “Boletín Oficial del Estado” y en el “Boletín Oficial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el 22 y 23 de abril de 2015, los Presidentes del Senado y Congreso comunicaron los acuerdos de las Mesas de sus respectivas Cámaras de personarse en el procedimiento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Directora General del Servicio jurídico del Gobierno de Canarias, actuando en la representación que legalmente ostenta, se personó en este proceso constitucional el 27 de abril de 2015, solicitando una prórroga del plazo concedido para formular alegaciones, prórroga que fue acordada por el Pleno del Tribunal Constitucional mediante providencia de 28 de abril del mismo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Canarias presentó sus alegaciones en el Tribunal Constitucional el 6 de mayo de 2015. En el escrito formulado al efecto concluye suplicando la declaración de constitucionalidad de los preceptos impugnados. En otrosí pide el levantamiento anticipado de la suspensión de la vigencia de los mencionados preceptos. Sucintamente expuestos, sus argumentos son los siguientes. La Ley autonómica pretende dar satisfacción al mandato del art. 47 CE dada la situación de crisis y las dificultades económicas relacionadas con la mala situación que atraviesan las familias y las dificultades de acceso a la financiación para su compra. Este precepto no consagra un derecho fundamental, pero ello no lo convierte en una previsión programática, ya que impone a los poderes públicos una obligación de actuar para el logro de dicha finalidad. Es más, este precepto puede actuar como límite a otros derechos fundamentales, y constituye el soporte material de otros derechos constitucionales. El fundamento competencial de la Ley parcialmente impugnada se encuentra en el art. 30.15 del Estatuto de Autonomía de Canarias que le atribuye competencias en materia de urbanismo y vivienda. El ejercicio de esta competencia se complementa con las ejercidas por el Estado. El deber de ocupar la vivienda se acomoda a lo previsto en la Ley 8/2013, de 26 de junio, de rehabilitación, regeneración y renovación urbanas (art. 3), encaja en las necesidades expuestas en el preámbulo de la Ley 4/2013, de 4 de junio, de flexibilización y fomento de alquiler de viviendas, y responde a las medidas adoptadas en países de nuestro entorno.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integra el destino habitacional en los deberes inherentes al derecho de propiedad de la vivienda cuyo incumplimiento conlleva consecuencias sancionadoras y expropiatorias, previsión que encaja de lleno en la competencia autonómica a raíz de lo afirmado en la STC 37/1987, de 26 de marzo, sobre la Ley de reforma agraria de Andalucía, y la STC 186/1993, de 7 de junio, dictada en relación con la Ley de la dehesa de Extremadura, que no tiene otro límite que el respeto al contenido esencial de la propiedad, límite que no se ignora en este caso pues no somete a la propiedad a limitaciones exorbitantes que la desnaturalicen. Tampoco vulnera las condiciones básicas establecidas por el Estado ex art. 149.1.1 CE, competencia ésta que no supone la delimitación del contenido esencial del derecho de propiedad, sino la determinación de sus condiciones básicas, sin que sea posible un diseño acabado del mismo [STC 61/1997, de 20 de marzo, FJ 7 a)]. No incide tampoco en la competencia que asiste al Estado ex art. 149.1.8 CE, pues la delimitación del derecho de propiedad no se produce necesariamente por la legislación civil sino que corresponde al legislador sectorial, estatal 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también que la ley vulnere los arts. 25 y 9.3 CE en relación con el régimen sancionador, no sólo porque el fundamentar la declaración de vivienda deshabitada en indicios no es contrario al principio de presunción de inocencia, pues la convicción judicial de un proceso puede formarse sobre este tipo de prueba siempre que los indicios estén plenamente probados y no se trate de meras sospechas, y se explicite el razonamiento según el cual se llega a la conclusión que se ha producido la conducta infractora. Tampoco existe una responsabilidad objetiva en cuanto que la resolución que declara la vivienda deshabitada se dicta tras un procedimiento contradictorio en el que pueden proponerse pruebas y la propia ley se refiere a la negativa a colaborar con la Consejería cuando no se desprenda la existencia de una causa que pueda justificar que la vivienda está deshabitada.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infringe la prohibición de arbitrariedad del art. 9.3 CE porque los preceptos impugnados persiguen asegurar el derecho a una vivienda digna y se orientan desde parámetros de proporcionalidad, incluyendo la previsión de medidas sancionadoras aplicables a las personas jurídicas que no den a las viviendas el uso habitacional que integra la función social de este derecho. Lo mismo señala en relación con el art. 14 CE que no se ve vulnerado al no existir identidad entre los supuestos fácticos a contemplar. El fin de la vivienda en el caso de las personas jurídicas no es satisfacer el derecho a la vivienda digna, sino que responde a un interés especulativo o al mantenimiento del valor contable de la inversión. El trato diferenciado responde al distinto alcance del potencial económico y social de las personas jurídicas entidades de crédito frente a las personas físicas, lo que justifica que las medidas dirigidas a las personas físicas sean de fomento, mientras que las diseñadas para las personas jurídicas sea de otro tipo. Se respeta así mismo el principio de proporcionalidad. Los preceptos impugnados son respetuosos con el contenido esencial del derecho de propiedad, son medidas idóneas para responder a la finalidad legítima pretendida cual es la de hacer efectivo el art. 47 CE, haciendo frente a un parque de viviendas vacías y situaciones potenciales de exclusión social; son necesarias habida cuenta de la insuficiencia que han demostrado las adoptadas por el Estado y son proporcionales en sentido estricto por cuanto debe prevalece la defensa del interés general derivado de la efectividad del derecho a la vivienda frente a los demás bienes jurídicos que pueden verse afectados. Finalmente, en lo que atañe a la vulneración de las competencias estatales del art. 149.1.11 y 13 CE por la regulación de la causa expropiatoria considera que las alegaciones del Estado son voluntaristas, pues los daños o incidencia en el sistema no han sido cuantificados en los informes que aporta junto con la demanda, reiterando, además, los argumentos vertidos en los votos particulares formulados al ATC 69/2014, a los que hay que añadir que el parque de viviendas que podrían estar afectadas en Canarias no supera el 2,94 por 100 del total, sin que se pueda determinar cuántas de ellas pertenecen a personas físicas o jurídicas.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22 de mayo de 2015 presentó sus alegaciones la Directora General del Servicio jurídico del Gobierno de Canarias, actuando en representación de este último. Tras destacar la relación existente entre esta Ley y el mandato contenido en el art. 47 CE, pasa a contestar las alegaciones de la demanda. La regulación del contenido del derecho de propiedad privada de la vivienda que establece la Ley impugnada no queda desnaturalizado con la Ley impugnada, permanecen intactas las facultades dominicales y se procede a la expropiación del uso con las garantías establecidas en el art. 33.3 CE. De acuerdo con la doctrina constitucional, el art. 33 CE no habilita para una regulación uniforme de la propiedad privada y su función social. Al Estado corresponde establecer el contenido básico y primario del derecho de propiedad en cuanto afecte a sus condiciones básicas, pero no la regulación de cualesquiera condiciones que afecten al derecho. La Comunidad Autónoma de Canarias ostenta competencia en materia de vivienda, por lo que puede regular normas atinentes a la propiedad de la vivienda con el respeto a lo establecido en el art. 149.1.1 y 8 CE. La Comunidad Autónoma no ha vulnerado el principio de igualdad por contar con un régimen legal distinto de la propiedad de la vivienda respecto al establecido en otras partes del territorio nacional pues, conforme a la STC 186/1993, que recuerda a su vez la STC 37/1987, la igualdad requiere la de las posiciones jurídicas fundamentales, pero no una absoluta identidad de las mismas, así como la STC 37/1987 estableció el alcance del título del art. 149.1.8 CE que no comprendía la función de delimitación del contenido de cada propiedad. Tampoco se vulnera el art. 25 CE. La Ley establece un procedimiento para la declaración de vivienda desocupada y tipifica como infracción el incumplimiento del deber legal de las personas jurídicas de destinarlas a un uso habitacional efectivo tras un procedimiento contradictorio en el que se justifique el motivo por el que se mantiene desocupada, bastando para eludir la infracción, que se acredite que la vivienda se ha puesto a disposición del mercado inmobiliario para que pueda estar arrendada y que no está ocupada por causas ajenas a su voluntad, sin que se exija que se arriende a cualquier precio o se ceda su uso gratuitamente. Aunque el deber de destinar la vivienda al uso habitacional efectivo se impone a todos los propietarios, la Ley otorga un tratamiento distinto a las personas jurídicas que no aparece proscrito por el art. 14 CE, basta con que no se funde en alguna de las interdicciones previstas en este precepto, responda a objetivos constitucionalmente válidos, que la distinción se articule en términos adecuados a esa finalidad y que sus consecuencias jurídicas sean proporcionadas a este fin. Sólo se impone una sanción a los titulares por el incumplimiento del destino habitacional efectivo de las viviendas a las personas jurídicas a las que se les supone un potencial social y económico diferente al de las personas físicas, estándose pues ante un tratamiento desigual de los desiguales. Corresponde a la Comunidad Autónoma la competencia exclusiva en materia de vivienda por lo que a ella corresponde fijar la causa expropiandi así como los fines de interés público que se pretenden satisfacer en función de la política de vivienda elegida, habiéndose respetado las garantías procedimentales y patrimoniales previstas por la legislación estatal. El Consejo de Estado no opuso reparo alguno a la regulación de la expropiación del derecho de uso contemplado en el Decreto-ley andaluz, lo cual es trasladable a este supuesto tanto más cuanto la disposición adicional cuarta especifica que los deudores hipotecarios a quienes no resulte de aplicación las medidas contenidas en la legislación estatal de protección de los deudores hipotecarios, podrán acogerse a ella, con lo que se descarta que el legislador canario haya pretendido, siquiera por vía indirecta, interferir en las normas del Estado, dado el carácter subsidiario de esta medida. Finalmente, en relación con el art. 149.1.13 CE recuerda que no puede convertirse en un título tan expansivo que vacíe de competencias a las Comunidades Autónomas, cuando por otra parte, el peligro a una de las líneas de actuación abordadas por el Estado, a saber, la reestructuración del sistema financiero y la estabilidad de las entidades de crédito, es puramente potencial, siendo, por tanto, la demanda sustentada en este título meramente preventiva. Así lo demuestra el informe del Banco de España aportado junto con la demanda en el que esta entidad reconoce que es difícil realizar una valoración cuantitativa de las medidas que la Ley autonómica contempla sobre el sector financiero y la consecución de los objetivos objeto de seguimiento por las autoridades europeas. Estos temores no son bastantes para eliminar el reparto constitucional de competencias. En cuanto al informe elaborado por la SAREB que se limita a expresar su temor sobre los efectos adversos que podría ocasionar la aplicación de las medidas contempladas en la Ley canaria, cabe señalar que desconoce que las sanciones sólo podrán ser impuestas tras la tramitación del correspondiente expediente en que la entidad podrá justificar en qué medida su actividad le hace difícil cumplir los deberes que se le imponen, tanto en relación con la obligación de colaboración, como con las sanciones que se podrían imponer en relación con la vivienda deshabitada, que es capaz de cuantificar el impacto económico de las citadas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25 de mayo de 2015, el Pleno del Tribunal Constitucional acordó unir a los autos los escritos de alegaciones presentados por el Parlamento y Gobierno de Canarias, y oír a las partes personadas para que expongan lo que estimen procedente sobre el levantamiento o mantenimiento de la suspensión solicitada por el Parlamento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 de junio de 2015 presentó sus alegaciones en este incidente cautelar el Abogado del Estado. Alega graves e irreparables perjuicios derivados del levantamiento de la suspensión que acredita a partir del informe de la Secretaría General Técnica del Ministerio de Economía y Competitividad que se aporta, junto con los informes del Banco de España y la SAREB, previamente adjuntados a la demanda. Estos perjuicios se resumen en los siguientes: (i) afectación directa a la SAREB cuyo éxito es garantía de la reestructuración de las entidades de crédito; (ii) incremento de los costes de reestructuración asumidos por el Estado sin añadir mayor protección a los deudores hipotecarios. Cita, asimismo, los AATC 69/2014, y 115/2014 recaídos en relación a disposiciones autonómicas de Navarra y Andalucía, de contenido muy similar a la Ley aquí impugnada, en los que este Tribunal acordó el mantenimiento de la suspensión. Y recuerda finalmente, a sabiendas de que no es relevante para la decisión que ahora ha de adoptarse, la sentencia del Tribunal Constitucional de 14 de mayo de 2015, recaída en el recurso del Gobierno contra el Decreto-ley 6/2013, de 9 de abril, de Andalucía. Alega que los intereses de los particulares afectados en orden a decidir sobre el levantamiento o mantenimiento de la suspensión ya han sido protegidos por la norma estatal, en concreto el Real Decreto-ley 1/2015, de 27 de febrero, de mecanismo de segunda oportunidad, mientras que la Ley impugnada podría comportar un aumento del riesgo asumido por las entidades en los créditos que podría conllevar la exigencia de mayores primas de riesgo para la concesión de préstamos hipotecarios en el futuro para compensar pérdidas esperadas mayores, lo que afectaría a las familias con mayor riesgo de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daños para el sistema financiero se consideran tales, en primer lugar, el riesgo de incumplimiento de los compromisos de nuestro país de carácter internacional —memorando de entendimiento— habiendo destacado la Comisión Europea el potencial impacto negativo de iniciativas autonómicas de protección de deudores hipotecarios para las actividades de la SAREB, tanto de forma directa (sanciones por viviendas desocupadas), como indirectas (aumento de incertidumbre). En segundo lugar, las inquietudes manifestadas por las autoridades internacionales se consideran tales por el Banco de España que señala algunos de los aspectos más preocupantes de la Ley. En cuanto a las medidas destinadas a los desahucios, se pone de manifiesto que la coexistencia de dos regímenes, uno de ellos basado en la suspensión de los procedimientos ejecutivos, el otro en medidas coercitivas (sanción o expropiación), hace previsible que surjan conflictos de aplicación que pongan en riesgo tanto la seguridad jurídica como la finalidad de protección por ellas perseguida, aun cuando la Ley canaria establece la cautela de su aplicación subsidiaria de la del Estado. Sólo una única norma garantizaría la aplicación coherente de las medidas de protección de los deudores, criterio acogido, señala el Abogado del Estado, en la STC de 14 de mayo de 2015. Los efectos de estas medidas sobre la SAREB y el desarrollo de su plan de negocio en lo que afecta en concreto a las medidas 17 y 15, relativas a la eliminación inmediata de activos problemáticos de sus balances, y gestión de los activos para realizar su valor a largo plazo, consistentes en la preparación de un plan de largo alcance y un marco legislativo para el establecimiento y funcionamiento de la entidad de gestión de activos, y adopción de normas para que esté operativa antes de noviembre de 2012. Desde este punto de vista, la Ley canaria incide directamente sobre este instrumento de reestructuración pudiendo incrementar el coste económico de las medidas estatales. Finalmente en cuanto al impacto potencial en el sector bancario de las medidas consistentes en la expropiación del uso de las viviendas en favor de los ejecutados en condiciones de exclusión, no se cuentan con indicadores cuantitativos del impacto de la medida, pero cualitativamente se produciría un incremento del riesgo de las entidades en los créditos ya concedidos con impacto negativo en la estabilidad financiera, podría tener impacto en las emisiones de cédulas hipotecarias y otros valores garantizados por préstamos hipotecarios debido al deterioro de la calidad de la garantía subyacente, con el consiguiente posible descenso en la cotización de los títulos, un incremento de los costes de financiación de las entidades y un incremento de las dificultades de refinanciación de los títulos según van venciendo. Asimismo se producirá mayor coste derivado del cumplimiento de las obligaciones de información y comunicación de 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informe de la SAREB, prosigue, pone de manifiesto que la Ley impugnada puede conllevar la distorsión parcialmente intensa del mercado de crédito e incluso de la evolución de los sectores financiero e inmobiliario y de los programas para su saneamiento con el correspondiente menoscabo de la competencia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ello hay que añadir, aún, en opinión del Abogado del Estado, el riesgo de generalización de las medidas adoptadas al resto de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Las alegaciones de la Directora General del Servicio jurídico del Gobierno de Canarias fueron registradas en el Tribunal Constitucional el 2 de junio de 2015. En ellas hace suyas las consideraciones vertidas en el voto particular de los AATC 69/2014, de 10 de marzo, y 115/2014, de 8 de abril, haciendo hincapié en que la STC de 14 de mayo no ha declarado inconstitucionales todas las medidas adoptadas por el Decreto-ley 6/2013 de Andalucía. En cuanto a los perjuicios que derivarían del levantamiento de la suspensión, tras recordar la presunción de validez de la norma autonómica y reproducir íntegramente su exposición de motivos, recuerda que esta norma no afecta a la estatal en cuanto a la expropiación del derecho de uso de las viviendas en favor de los ejecutados en condiciones de exclusión social, pues esta contempla expresamente su aplicación subsidiaria. Por el contrario, de mantenerse la suspensión se estaría menoscabando el interés público que subyace en el ejercicio por la Comunidad Autónoma de su competencia. En concreto se impediría la elaboración del registro de viviendas deshabitadas que puede proporcionar una información útil para la comprobación o seguimiento de las viviendas vacías y permitiría atender las necesidades de familias con amenaza de desahucio, y las medidas de fomento. Perjudicaría, además, a quienes habiendo sido ejecutados, podrían permanecer en las viviendas en las que son deudores hipotecarios. Los informes aportados por el Abogado del Estado no acreditan, en fin, la existencia de perjuicios de imposible o difícil reparación. Se trata de simples temores hipotéticos, pero no daños acreditados que contrastan incluso con el informe de estabilidad financiera 11/2014 del Banco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10 de junio de 2015 tuvo entrada en el Registro General del Tribunal Constitucional un escrito del Letrado del Parlamento de Canarias, en que suplica el levantamiento de la suspensión. Tras exponer los criterios que tiene en cuenta la doctrina constitucional a los efectos de resolver este incidente, alega que la Abogacía del Estado no ha acreditado los daños que se irrogarían por el levantamiento de la suspensión, haciendo suyos los argumentos expuestos en el voto particular del ATC 69/2014, que transcribe parcialmente. Añade, por otra parte, que las ejecuciones hipotecarias en Canarias entre 2008 y 2013 (datos del Consejo General del Poder Judicial) sólo afectan al 5,5 del total estatal de ejecuciones hipotecarias. Que de acuerdo con el Instituto Nacional de Estadística el stock de viviendas vacías representa un 2,94 por 100 del total nacional sin que existan datos sobre la propiedad de personas jurídicas o físicas de las mismas. Ello indica la limitada incidencia potencial de la Ley canaria impugnada, lo que priva de credibilidad al argumento del Abogado del Estado. A ello hay aún que añadir, que la expropiación del derecho de uso no se contempla con carácter general, sino para un colectivo muy limitado, que el levantamiento de la suspensión permitiría a las personas que se encuentran en riesgo de exclusión social beneficiarse de sus medidas, mientras que su mantenimiento conllevaría un perjuicio irreparable para las familias que deben abandonar su domicilios por impago de las cuotas de sus hipotecas, cuando los perjuicios que hubieran sufrido las entidades financieras serían compensables económicamente.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trata en este incidente cautelar de resolver el mantenimiento o levantamiento de la suspensión de la vigencia de los siguientes apartados del art. 1 de la Ley 2/2014, de 20 de junio, de modificación de la Ley 2/2003, de 30 de enero, de vivienda de Canarias y de medidas para garantizar el derecho a la vivienda: 1 (por cuanto modifica el art. 1.2 de la Ley 2/2003); 4 [por cuanto modifica el art. 4 g) de la Ley 2/2003]; 6 [por cuanto modifica el art. 8.l), m) y n) de la Ley 2/2003]; 7 (por cuanto añade un nuevo art. 18.8 en la Ley 2/2003); 23 (por cuanto añade un nuevo art. 77 bis en la Ley 2/2003); 24 [por cuanto modifica el art. 78 f) de la Ley 2/2003], 26 (por cuanto modifica el título VIII de la Ley 2/2003, arts. 80 a 98) y 27 [por cuanto añade los nuevos arts. 106 i) y 99 e) en la Ley 2/2003], así como de las disposiciones adicionales segunda y cuarta de la mencionada Ley 2/2014, de 20 de junio, todos ellos impugnados en el recurso de inconstitucionalidad 1824-2015, interpuesto por el Presidente del Gobierno contra esta ley autonómica, con invocación de los arts. 161.2 CE y 30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suplica el mantenimiento de la suspensión. Sus alegaciones, recogidas de forma pormenorizada en los antecedentes, son sustancialmente coincidentes con las expuestas en los dos incidentes cautelares que fueron resueltos por este Tribunal con el mantenimiento de la suspensión de los preceptos impugnados de dos Leyes autonómicas. En concreto, de la Ley 24/2013, de 2 de julio, de Navarra, de medidas urgentes para garantizar el derecho a la vivienda, y de la Ley 4/2013, de 1 de octubre, de la Comunidad Autónoma de Andalucía, de medidas para asegurar el cumplimiento de la función social de la vivienda (AATC 69/ 2014, de 10 de marzo, y 115/2014, de 8 de abril, respectivamente). El propio Abogado del Estado trae a colación los Autos recién citados en apoyo de su pretensión. Por su parte, tanto el Parlamento como el Gobierno de Canarias suplican el levantamiento de la suspensión, entre otros, por los argumentos vertidos en el voto particular a ambos Autos, que hacen suyos.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preceptos ahora impugnados imponen a los propietarios de viviendas el deber de destinarlas de forma efectiva al uso habitacional, cuyo incumplimiento se tipifica como infracción cuando la propiedad corresponda a personas jurídicas; contemplan entre las competencias de la Administración, la definición y ejercicio de acciones tendentes a evitar la existencia de viviendas vacías mediante la declaración, inspección y sanción, competencias que se atribuyen al Instituto Canario de la Vivienda; asigna los recursos obtenidos por el ejercicio de la potestad sancionadora a sufragar las expropiaciones de uso en los procedimientos de desahucio por ejecución hipotecaria; regula las viviendas deshabitadas y el procedimiento para su declaración; la tramitación electrónica del procedimiento de declaración de vivienda deshabitada, y, finalmente , la declaración de interés social a efectos de expropiación forzosa de la cobertura de necesidad de vivienda de personas en especiales circunstancias de emergencia social. Esto es, su contenido es muy similar al de las Leyes autonómicas antes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resolución que ahora debemos adoptar sólo puede ser el resultado de ponderar, de un lado, los perjuicios reales y efectivos asociados al levantamiento de la suspensión, y, de otro, la presunción de constitucionalidad de que gozan las normas legales y los menoscabos de intereses públicos y privados consecuencia de su mantenimiento, dejando a un lado cualquier consideración sobre el fondo de la inconstitucionalidad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quiera que los daños y perjuicios ahora invocados por el Abogado del Estado son los mismos que se pusieron de manifiesto y valoraron los AATC 69/2014, de 10 de marzo, y 115/2014, de 8 de abril, y similares, también, los menoscabos de intereses públicos y privados derivados de la inaplicación de la norma autonómica, sin que las partes hayan traído a colación nuevos elementos entonces no considerados, el resultado de nuestra ponderación debe ser el mismo que entonces. En consecuencia, debe mantenerse la suspensión de los preceptos impugnados por las razones ya expuestas, que son, de forma muy sucinta,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Existe un perjuicio cierto para el interés general que subyace en el buen funcionamiento y estabilidad del sistema financiero en su conjunto, pues aunque en términos cuantitativamente reducidos, producen un menoscabo para la estabilidad, de manera que puede ponerse en riesgo la reestructuración bancaria apoyada con dinero público y el cumplimiento por España de sus compromisos internacionales, debiéndose tener en cuenta, además, que a la presente Ley deben sumarse las dos Leyes autonómicas anteriormente mencionadas. Este riesgo ha quedado acreditado con los informes relativos a la tercera y quinta revisión del programa de asistencia financiera para la recapitalización de las instituciones financieras en España, y con el informe del Banco de España cuyos datos no han sido desacreditados por los letrados autonómicos que se han limitado a afirmar que se trata de meras suposiciones. El valor probatorio del primero reside en que la Comisión Europea, el Banco Central Europeo y el Fondo Monetario Internacional han participado en su elaboración siendo estas entidades especializadas en la materia e independientes de las partes, la misma independencia y especialización que se predica del Banco de España (ATC 69/2014, FFJJ 5,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produciría un daño para la seguridad jurídica derivado, no de que las actuaciones de la Administración de la Comunidad Autónoma puedan quedar en entredicho si la resolución si la resolución de fondo fuera favorable al Estado, sino de la mera convivencia sobre una misma realidad material de regímenes jurídicos dispares (ATC 69/2014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dispuesto normas que atienden a estos mismos intereses (ATC 69/2014, FJ 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siguientes apartados del art. 1 de la Ley 2/2014, de 20 de junio, de modificación de la Ley 2/2003, de 30 de enero, de vivienda de Canarias y de medidas para garantizar el derecho a la vivienda: uno (por cuanto modifica el art. 1.2 de la Ley 2/2003); cuatro [por cuanto modifica el art. 4 g) de la Ley 2/2003]; Seis [por cuanto modifica el art. 8.l), m) y n) de la Ley 2/2003]; siete (por cuanto añade un nuevo art. 18.8 en la Ley 2/2003); veintitrés (por cuanto añade un nuevo art. 77 bis en la Ley 2/2003); veinticuatro [por cuanto modifica el art. 78 f) de la Ley 2/2003], veintiséis (por cuanto modifica el título VIII de la Ley 2/2003, arts. 80 a 98) y veintisiete [por cuanto añade los nuevos arts. 106 i) y 99 e) en la Ley 2/2003], así como de las disposiciones adicionales segunda y cuarta de la mencionada Ley 2/2014, de 20 de junio.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las Magistradas doña Adela Asua Batarrita, doña Encarnación Roca Trías, y los Magistrados don Fernando Valdés Dal-Re y don Juan Antonio Xiol Ríos, al Auto de 21 de julio de 2015, dictado en el incidente de suspensión del recurso de inconstitucionalidad núm. 1824-2015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el respeto que nos merece la opinión de la mayoría, debemos manifestar nuestra discrepancia con la suspensión de los preceptos de la Ley 2/2014, de 20 de junio, de modificación de la Ley 2/2003, de 30 de enero, impugnados en este proceso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artículos cuestionados de la Ley Canaria 2/2014, de 20 de junio, guardan un sustancial parecido con los preceptos, también recurridos ante este Tribunal, de la Ley Foral 10/2010, de 10 de mayo, de derecho a la vivienda en Navarra y de la Ley 4/2013, de 1 de octubre, de la Comunidad Autónoma de Andalucía, de medidas para asegurar el cumplimiento de la función social de la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intereses que podrían verse afectados por el levantamiento de la suspensión de la Ley autonómica que, en este incidente, alega el Abogado del Estado son exactamente los mismos que expuso en los incidentes de suspensión que dieron lugar a los AATC 69/ 2014, de 10 de marzo, y 115/2014, de 8 de abril.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consecuencia, por las mismas razones que pusimos de manifiesto en los Votos particulares que suscribimos en ambos casos y a las que ahora nos remitimos, creemos que no ha quedado acreditado que la inmediata aplicación de la Ley 2/2014, de 20 de junio, pueda acarrear más daño al interés general que el derivado de la contradicción denunciada con la legislación estatal. Ello no es, sin duda, razón suficiente para enervar la presunción de validez de las disposiciones legales autonómicas. De ahí que el Auto del que discrepamos debiera haber acordado el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julio de dos mil quince.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