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201</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diciembre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7765-2014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7765-2014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7765-2014 planteada por la Sección Segunda de la Sala de lo Contencioso-Administrativo del Tribunal Superior de Justicia de Castilla-La Mancha.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diciembre de 2014 tuvo entrada en el Tribunal Constitucional el Auto de la Sección Segunda de la Sala de lo Contencioso-Administrativo del Tribunal Superior de Justicia de Castilla-La Mancha, de fecha 14 de noviembre del mismo año, dictado en el procedimiento ordinario 750-2010, por el que se acuerda el planteamiento de la cuestión de inconstitucionalidad en relación a los apartados 1 a) y 2 del art. 22 de la Ley 8/2007, de 28 de mayo, de suelo, y los apartados 1 a) y 2 del art. 23 del Real Decreto Legislativo 2/2008, de 20 de junio, que aprueba el texto refundido de la Ley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en lo que interesa a este proceso constitucional,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proceso contencioso-administrativo del que trae causa la presente cuestión, la representación procesal de don Francisco Fernández Olalla, impugnó la resolución del Jurado regional de valoraciones que fijaba el justiprecio de la finca 87 del polígono 1, parcela 136 del término municipal de Cabanillas del Campo referido a la expropiación de terrenos para la ejecución del proyecto de expropiación “Modificado núm. 1. Construcción de la carretera de conexión entre la N-320 (Alovera) y CM-101 (Fontanar). Tramo Alovera-Cabanillas del Campo (Guadalajara)”. Deliberado el asunto, la Sala entendió que, dadas las especiales circunstancias que reúne la parcela expropiada, los preceptos en que se fundamenta la valoración del Jurado regional de valoraciones, podrían ser inconstitucionales por cuanto que la limitan al valor obtenido por capitalización de rentas, no permitiendo otro incremento sobre el valor básico así obtenido que hasta un máximo del doble, atendiendo a factores objetivos de localización, y sin posibilidad de apreciar la existencia de expectativas urbanísticas.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Conclusas las actuaciones y señalada fecha para votación y fallo, la Sala dictó providencia, de 24 de septiembre de 2014, en la que se acordaba dar traslado a las partes, de acuerdo con lo establecido en el art. 35.2 de la Ley Orgánica del Tribunal Constitucional (LOTC), para que en el plazo común de diez días pudieran alegar sobre la pertinencia de plantear cuestión de inconstitucionalidad sobre los apartados 1 a) y 2 del art. 22 de la Ley 8/2007, de 28 de mayo, de suelo, y los apartados 1 a) y 2 del art. 23 del Real Decreto Legislativo 2/2008, de 20 de junio, que aprueba el texto refundido de la Ley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y la parte demandante concluyeron en la conveniencia de plantear cuestión de inconstitucionalidad sobre los preceptos citados en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la Sala de 14 de noviembre de 2014, de planteamiento de la cuestión, se basa en los razonamientos que a continuación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recoger los antecedentes del caso y reproducir las normas cuestionadas, la fundamentación del Auto comienza por hacer referencia al cumplimiento de los requisitos del art. 35 LOTC, señalando que es incontrovertida la aplicación de la Ley 8/2007 en el expediente expropiatorio, que se ha concedido a las partes el trámite de audiencia según exige la Ley Orgánica del Tribunal Constitucional y que la cuestión se plantea estando concluso el procedimiento, a falta tan sólo de dictar la resolución final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respecta a la aplicabilidad de las normas cuya constitucionalidad se cuestiona, señala el Auto que dichos preceptos son de aplicación, vista la fecha de entrada en vigor de la Ley 8/2007, el 1 de julio de 2007, y conforme a lo establecido en la disposición transitoria tercera del Real Decreto Legislativo 2/2008, habida cuenta de que el proyecto relativo a las obras fue aprobado por resolución de la Consejería de Obras Públicas de la Junta de Comunidades de Castilla-La Mancha, de fecha 21 de mayo del 2007, si bien el requerimiento de la Administración a los titulares de bienes y derechos objeto de expropiación fue efectuado el 21 de noviembre de 2007, fecha esta posterior a la entrada en vigor de la Ley 8/2007, por lo que, a efectos de valoraciones, debía aplicarse la referida Ley al caso enjuiciado.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juicio de relevancia, tras citar la doctrina constitucional de aplicación, señala que el suelo expropiado está en situación de suelo rural, lo que determina que, al amparo de lo previsto en el art. 22.1 a) y 2 de la Ley 8/2007 y 23.1 a) y 2 del texto refundido, los terrenos han de ser valorados por el sistema de capitalización de rentas, método que sólo responde a la valoración del rendimiento agrícola, pero no al valor real de los terrenos según su situación, descartándose expresamente la valoración de las expectativas urbanísticas. Por ello, la relevancia del planteamiento de la cuestión de inconstitucionalidad reside en que tales preceptos impidieron al jurado de expropiación —e impiden ahora a la propia Sala— valorar los terrenos en base a su valor real, valor al que podía llegarse, según la legislación anterior, por el método de comparación con fincas análogas, que constituía anteriormente el método principal de valoración, siendo subsidiario el de capitalización de rentas, criterio este último que, por su insuficiencia para reflejar el valor real, fue corregido por la jurisprudencia, defendiendo la posibilidad de incrementar hasta en un 500 por 100 el valor obtenido por capitalización, atendiendo a las expectativas urbanísticas de los terrenos.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en el análisis de los fundamentos del planteamiento de la cuestión, invoca el Auto el art. 33.3 CE, que está inspirado en el mantenimiento de la indemnidad. Señala como antecedente inmediato el art. 43 de la Ley de expropiación forzosa, que consagraba el criterio estimativo en el caso de que la valoración realizada conforme a los criterios legales no resultara conforme con el valor real del bien. Afirma que la disposición adicional quinta de la Ley 8/2007, de 28 de mayo (recogida después en la disposición adicional quinta del Real Decreto Legislativo 2/2008, de 20 de junio), determina que en la actualidad tanto los jurados como los Tribunales de Justicia se encuentran encorsetados por las rígidas reglas que al efecto se contienen y que, por lo que se refiere al suelo rural, consisten en la aplicación del método de capitalización de rentas, que se encuentra con la barrera de que el valor no puede ser corregido al alza sino hasta un máximo del doble, en función de factores objetivos de localización, sin que, en todo caso, puedan tenerse en cuenta expectativas derivadas de la asignación de edificabilidades y usos por la ordenación territorial o urbanística, que no hayan sido aún plenamente realizados. Entiende la Sala promotora que dichas limitaciones contravienen el art.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recoge, asimismo, la doctrina del Tribunal Constitucional sobre el contenido real de la indemnización o “justo precio”, recogida en la STC 166/1986, de 19 de diciembre, FJ 13 B) y en la STC 313/2006, de 8 de noviembre, FJ 9, según la cual la garantía constitucional de la correspondiente indemnización concede el derecho a percibir la contraprestación económica que corresponda al valor real de los bienes y derechos expropiados, cualquiera que sea éste, pues lo que garantiza la Constitución es el razonable equilibrio entre el daño expropiatorio y su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invoca también por la Sala la doctrina del Tribunal Europeo de Derechos Humanos, señalando que, a su entender, los preceptos que se cuestionan vulnerarían el art. 1 del protocolo adicional del Convenio de Roma. A partir de éste, se citan numerosas Sentencias del referido Tribunal, de las que la Sala deduce que, si bien el Tribunal Europeo de Derechos Humanos reconoce excepciones a la regla del reembolso equivalente al pleno valor de mercado, en los supuestos de expropiaciones por causa de utilidad pública, sólo una indemnización íntegra puede ser considerada como razonablemente proporcionada al valor del bien.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hace referencia, acto seguido, a la abundante doctrina del Tribunal Supremo favorable a la valoración de las expectativas urbanísticas en suelo no urbanizable, señalando que, tradicionalmente, bajo la vigencia de la Ley de suelo de 1976, las expectativas urbanísticas fueron un elemento más de valoración en los suelos no urbanizables, y que, desde entonces, con la única excepción de los ocho años que estuvo vigente la Ley de suelo 8/1990, y su texto refundido, aprobado por Real Decreto Legislativo 1/1992, nuestra legislación urbanística ha permitido su valoración hasta la vigente Ley 8/2007, en la que se ha vuelto a prohibir expresamente tal posibilidad.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Incluye igualmente el Auto de planteamiento la cita de una serie de modificaciones normativas posteriores que, a juicio de la Sala, vendrían a evidenciar la insuficiencia del método de capitalización para obtener el valor real del suelo rural. En este sentido, se señala que aunque tanto la Ley 8/2007 como el Real Decreto Legislativo 2/2008 establecían la posibilidad de que la Ley de presupuestos generales del Estado modificara el tipo de capitalización de la renta anual y fijara valores mínimos según tipos de cultivos y aprovechamientos de la tierra, cuando la evolución observada en los precios del suelo y en los tipos de interés corriera el riesgo de alejar de forma significativa el resultado de las valoraciones respecto de los precios de mercado del suelo rural sin consideración de expectativas urbanísticas, aquélla no hizo uso de tal posibilidad. En cambio el art. 10.2 del Real Decreto-ley 6/2010, de 9 de abril, cambió el criterio para trasladar dicha corrección a lo que se dispusiera reglamentariamente, permitiendo dicha corrección “cuando el resultado de las valoraciones se aleje de forma significativa respecto de los precios de mercado del suelo rural sin expectativas urbanísticas”. Esta habilitación fue utilizada por el Real Decreto 1492/2011, de 24 de octubre, por el que se aprueba el Reglamento de valoraciones de la Ley de suelo, cuyo artículo 12.1 b) establece que cuando en el suelo rural se desarrollen actividades agropecuarias o forestales, se utilizará como tipo de capitalización el resultado de multiplicar el tipo de capitalización general por el coeficiente corrector establecido en la tabla del anexo I del Reglamento, según el tipo de cultivo o aprovechamiento. Con ello se viene a demostrar que el legislador era consciente, desde un primer momento, de que una valoración calculada por el método de capitalización de rentas podía estar alejada de los precios de mercado del suelo rural, y, sin embargo, no hizo uso de dicha posibilidad hasta el Reglamento de 2011. Ello no quiere decir que los coeficientes que contempla el Reglamento sean suficientes para obtener el valor de mercado del suelo rural, sino que el método de capitalización de rentas, como único método y no como subsidiario del de comparación, es a todas luces insuficiente para valorar las fincas rústicas por lo que realmente valen.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anterior, entiende la Sala que los preceptos cuestionados vulneran claramente el art. 33.3 CE en los términos en que dicho precepto ha sido interpretado por el Tribunal Constitucional y por el Tribunal Supremo, ya que impiden, en cuanto al suelo rural, llegar a un justiprecio que refleje el valor real de los terrenos o, al menos, una aproximación al mismo, lo que se evidencia en las expropiaciones de fincas próximas al suelo urbano. También resultan contrarios a la jurisprudencia del Tribunal Europeo de Derechos Humanos, en cuanto que, en expropiaciones con fines de utilidad pública, sólo la indemnización íntegra puede ser considerada como razonablemente proporcionada al valor del bien que se expropia. En este punto, aclara el órgano promotor de la cuestión que por “valoración de expectativas urbanísticas” no está defendiendo que se deban valorar puras hipótesis, valores no reales o perjuicios meramente hipotéticos, inciertos o futuros. Lo que se pretende valorar no es la expectativa misma sino el incremento real de valor que la misma genera actualmente sobre el valor del suelo en el mercado, basándose en circunstancias actuales que son proyectadas al futuro por el mercado, lo cual genera, a su vez, un incremento real y actual del valor. Por otra parte, se plantea si es pertinente aquí la invocación del carácter supuestamente especulativo de este tipo de valores, teniendo en cuenta la obligación de los poderes públicos ex art. 47 CE de evitar la especulación del suelo. Afirma la Sala que resultaría sumamente paradójico que todos los agentes económicos tuvieran que padecer las elevaciones de valor del suelo, derivadas de unas u otras circunstancias, y que, sin embargo, los poderes públicos, precisamente obligados a velar por evitar la especulación, fuesen los únicos que quedasen al margen de sus efectos negativos a base de diseñar métodos legales de valoración artificiosos y alejados del hallazgo del valor real. A juicio de la Sala, la lucha contra la especulación consiste en eliminarla del mercado y no en dejar a las Administraciones públicas y sólo a ellas al margen de sus efectos negativos, mientras que el resto de los operadores económicos no sólo tienen que soportar sus consecuencias sino que, en el momento en que sufran una expropiación, no van a poder obtener por el suelo el valor que tienen que soportar en el resto de operaciones inmobiliarias. La Administración debiera pagar por el suelo lo que a la fecha de valoración debería abonar cualquiera que quisiera o necesitara adquirirlo, incluidas las expectativas, con independencia de que se hubieran cumplido o no después.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entiende la Sala que el coeficiente que, tanto el art. 22 de la Ley 8/2007 como su correlativo 23 del texto refundido de 2008 contemplan, es claramente insuficiente para que los propietarios puedan obtener esa indemnización íntegra por la pérdida del bien expropiado.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marzo de 2015, la Sección Cuarta de este Tribunal, en virtud del art. 37.1 LOTC, acordó oír al Fiscal General del Estado, al objeto de que, en el plazo de diez días, alegara lo que estimara oportuno en cuanto a la admisibilidad de la presente cuestión en relación con la falta de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el 21 de abril de 2015, en el que interesa la inadmisión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como primer óbice, pone de manifiesto que el trámite de audiencia a las partes no fue adecuadamente cumplimentado, pues la providencia de audiencia no fue notificada al Letrado de la Junta de Comunidades de Castilla-La Mancha, por lo que no tuvo, en consecuencia la oportunidad de presentar alegaciones, lo que, a su juicio, debería determinar la inadmisión a limine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juicio de aplicabilidad de los preceptos cuestionados, señala el Ministerio Fiscal que el Tribunal que plantea la cuestión estima aplicable la Ley 8/2007, de 29 de mayo, y nada razona, sin embargo, el Auto de planteamiento sobre la aplicabilidad del Real Decreto Legislativo 2/2008, de 20 de junio, que aprueba el texto refundido de la Ley de suelo. Siendo obvio, de un lado, que ambas normas legales, la Ley 8/2007, de 29 de mayo, ya derogada, y la actualmente vigente, el Real Decreto Legislativo 2/2008, de 20 de junio, que aprueba el texto refundido de la Ley de suelo, ni estaban ni pudieron estar en vigor en un mismo momento, y, de otro, que se requirió a la recurrente para la presentación de la hoja de aprecio varios meses antes de la aprobación y entrada en vigor del texto refundido, considera el Fiscal que procede inadmitir la cuestión de inconstitucionalidad planteada en relación con los apartados 1 a) y 2 del art. 23 del texto refundido.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la Fiscal General del Estado que en lo que se refiere a la cuestión planteada en relación con los apartados 1 a) y 2 del art. 22 de la Ley 8/2007, de 28 de mayo, de suelo, la STC 141/2014, de 11 de septiembre, tras analizar el art. 22.1 a) de la Ley de suelo, entendió que era constitucional una vez depurado el inciso de “hasta un máximo del doble”, cuya inconstitucionalidad y nulidad declaró. Por ello, una vez eliminado del ordenamiento jurídico el inciso anteriormente señalado, y en la línea de lo dispuesto en el ATC 61/2015 cabe concluir que la duda de inconstitucionalidad planteada en relación al art. 22.1 a) de la Ley del suelo ha perdido objeto y en lo que se refiere al art. 22.2 de la Ley de suelo resulta notoriamente infundada. Por todo ello considera que procede inadmitir a trámite la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del Tribunal Superior de Justicia de Castilla-La Mancha, por Auto de 14 de noviembre de 2014, plantea cuestión de inconstitucionalidad respecto de los apartados 1 a) y 2 del art. 22 de la Ley 8/2007, de 28 de mayo, de suelo, y los apartados 1 a) y 2 del art. 23 del Real Decreto Legislativo 2/2008, de 20 de junio, que aprueba el texto refundido de la Ley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dispuesto en el art. 37.1 de la Ley Orgánica del Tribunal Constitucional (LOTC), este Tribunal puede rechazar en trámite de admisión, mediante Auto y con la sola audiencia del Fiscal General del Estado, aquella cuestión de inconstitucionalidad que adolezca de la falta de los necesarios requisitos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se refiere a la falta de los necesarios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lo que se refiere al primero de los óbices opuestos por la Fiscal General del Estado, relativo a que la providencia de apertura del trámite de audiencia a las partes y al Ministerio Fiscal del art. 35.2 LOTC no habría sido notificada a la representación de la Junta de Castilla-La Mancha, hemos de desestimarlo en la medida en que consta en las actuaciones que la indicada resolución fue comunicada y recibida, vía Lexnet, por la parte el día 16 de octubre de 2014, constando debidamente documentado en autos el correspondiente acto de comunicación, por lo que aquélla tuvo conocimiento de su contenido y, en consecuencia, tuvo oportunidad efectiva de formular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lo que respecta al juicio de aplicabilidad realizado por el Auto de planteamiento, si bien está —sin perjuicio de lo que se establece en el apartado siguiente de la presente resolución— correctamente realizado en relación con la aplicación de la Ley 8/2007, de 28 de mayo en lugar de la Ley 6/1998 (la pieza separada de justiprecio se inició en octubre de 2007 estando en vigor la Ley de suelo), no lo está en relación con el texto refundido sobre cuya aplicabilidad no se incluye argumentación alguna. Siendo obvio, de un lado, que ambas normas legales, la derogada y la actualmente vigente, ni estaban ni pudieron estar en vigor en un mismo momento, y, de otro, que la pieza separada de justiprecio se inició en octubre de 2007, procede inadmitir la cuestión de inconstitucionalidad planteada en relación con los apartados 1 a) y 2 del art. 23 del texto refundido por incumplir el necesario juicio de aplicabilidad (entre otros el ATC 61/2015, de 17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Respecto de los apartados 1 a) y 2 del art. 22 de la Ley 8/2007, de 28 de mayo, de suelo, el Auto de 14 de noviembre, considera que los mismos contravienen la Constitución (art. 33.3 CE). El contenido de las normas impugnadas, según el Auto de planteamiento de la cuestión,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“Valoración en el suelo rural.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Cuando el suelo sea rural a los efectos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terrenos se tasarán mediante la capitalización de la renta anual real o potencial, la que sea superior, de la explotación según su estado en el momento al que deba entenderse referida la valoración.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renta potencial se calculará atendiendo al rendimiento del uso, disfrute o explotación de que sean susceptibles los terrenos conforme a la legislación que les sea aplicable, utilizando los medios técnicos normales para su producción. Incluirá, en su caso, como ingresos las subvenciones que, con carácter estable, se otorguen a los cultivos y aprovechamientos considerados para su cálculo y se descontarán los costes necesarios para la explotación considerada.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valor del suelo rural así obtenido podrá ser corregido al alza hasta un máximo del doble en función de factores objetivos de localización, como la accesibilidad a núcleos de población o a centros de actividad económica o la ubicación en entornos de singular valor ambiental o paisajístico, cuya aplicación y ponderación habrá de ser justificada en el correspondiente expediente de valoración, todo ello en los términos que reglamentariamente se establezcan.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Las edificaciones, construcciones e instalaciones, cuando deban valorarse con independencia del suelo, se tasarán por el método de coste de reposición según su estado y antigüedad en el momento al que deba entenderse referida la valoración.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Las plantaciones y los sembrados preexistentes, así como las indemnizaciones por razón de arrendamientos rústicos u otros derechos, se tasarán con arreglo a los criterios de las Leyes de Expropiación Forzosa y de Arrendamientos Rústicos.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ninguno de los casos previstos en el apartado anterior podrán considerarse expectativas derivadas de la asignación de edificabilidades y usos por la ordenación territorial o urbanística que no hayan sido aún plenamente realizados.”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señalar que la cuestión planteada se ha presentado frente a un precepto que ya había sido parcialmente declarado inconstitucional y nulo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STC 141/2014, de 11 de septiembre, (“BOE” núm. 243, de 7 de octubre de 2014), declaró “la inconstitucionalidad y, por tanto, la nulidad del inciso ‘hasta un máximo del doble’ del art. 22.1 a), párrafo tercero, de la Ley 8/2007, de 28 de mayo, de suelo y del art. 23.1 a), párrafo tercero, del texto refundido de la Ley de suelo, aprobado por Real Decreto legislativo 2/2008, de 20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declaración de inconstitucionalidad y nulidad contenida en el fallo de la STC 141/2014, de 11 de septiembre, produjo plenos efectos de cosa juzgada a partir de su publicación, el 7 de octubre de 2014, en el “Boletín Oficial del Estado” (arts. 164.1 CE y 38.1 LOTC) por lo que, al haber resultado expulsados ya del ordenamiento jurídico parte de los preceptos cuestionados en el posterior Auto de 14 de noviembre de 2014 y haber quedado resuelta con anterioridad y en sentido estimatorio la duda de constitucionalidad allí planteada, las cuestiones de inconstitucionalidad planteadas en relación a tales incisos no tienen razón de ser, pues no se plantean frente a una norma con rango de ley, de cuya validez dependa 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el efecto inmediato de la anulación de cualquier norma o parte de ella, su expulsión del ordenamiento jurídico la duda que se suscita en el Auto de 14 de noviembre en relación con el inciso declarado inconstitucional y nulo resulta vacía de contenido, sin finalidad práctica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el resto de apartados cuestionados, la STC 141/2014, de 11 de septiembre, afirmó su no inconstitucionalidad al establecer “que el sistema de valoración a efectos indemnizatorios que parte del criterio de la capitalización de rentas, modulado en atención a otros factores, es un sistema que incorpora criterios acordes con la idea del valor real o económico del bien y que, en principio y en abstracto, puede ofrecer un proporcional equilibrio entre el daño sufrido y la indemnización correspondiente, en línea con la doctrina del Tribunal Europeo de Derechos Humanos”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 conlleva que los argumentos con los que la STC 141/2014, de 11 de septiembre, desestimó la cuestión allí planteada, determinen la inadmisión de la presente cuestión en este punto por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7765-2014 planteada por la Sección Segunda de la Sala de lo Contencioso-Administrativo del Tribunal Superior de Justicia de Castilla-La Mancha.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diciembre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