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febrero de 2015 tuvo entrada en el Registro General de este Tribunal un oficio de la Sección Segunda de la Sala de lo Contencioso-Administrativo del Tribunal Superior de Justicia de Castilla-La Mancha, al que se acompaña, junto al testimonio del procedimiento ordinario núm. 123-2011, el Auto de 12 de enero de 2015,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persona física, propietaria de fincas afectadas por el proyecto de expropiación derivado del “proyecto de singular interés Parque Industrial y Tecnológico de Illescas”, recurre en vía contencioso-administrativa la resolución del Jurado regional de valoraciones de la Junta de Comunidades de Castilla-La Mancha que fijó el justiprecio de las fincas, que se encontraban en situación de rústicas.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24 de noviembre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pertinente el planteamiento de la cuestión de inconstitucionalidad respecto de los arts. 23.2, en relación con el art. 12, y 25 del Real Decreto Legislativo 2/2008, por su aparente contradicción con 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se opuso al planteamiento de la cuestión por lo que hace a los arts. 23.1 y 23.2 del Real Decreto Legislativo 2/2008, con el argumento de que la STC 141/2014, de 11 de septiembre, no los había declarado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consideró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12 de enero de 2015,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procedimiento.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sobre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el Jurado Regional de Valoraciones tasó los bienes haciendo aplicación del art. 23 en sus apartados 1 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proyecto de singular interés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limitados por las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cualquier método que de manera manifiesta impida dar con un valor real, valor que a nuestro juicio equivale a un valor que sea próximo al del mercado propio del bien de que se trate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Solo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proyecto de singular interés que motiva la expropiación; y que el propio proyecto de singular interés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proyecto de singular interés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proyecto de singular interés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 33.3 CE y el 14 CE”. Y sobre la constitucionalidad del régimen previsto en el artículo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 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 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2015, la Sección Segunda del Tribunal Constitucional acordó oír al Fiscal General del Estado para que, en el plazo de diez días, y a los efectos que determina el art. 37.1 LOTC, alegase lo que considerase conveniente acerca de la admisibilidad de la presente cuestión de inconstitucionalidad “en relación con la pérdida de objeto de la cuestión de inconstitucionalidad respecto al art. 25.2 a) del Real Decreto Legislativo 2/2008 y de su carácter notoriamente infundado (por efecto de lo resuelto en la STC 218/2015, de 22 de octubre) respecto a los otros preceptos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4 de febrero de 2016, en el que afirma que la presente cuestión de inconstitucionalidad debe ser resuelta siguiendo la dicción de los Autos de 19 de enero de 2016 dictados por este Tribunal en las cuestiones de inconstitucionalidad 6246-2014, 7766-2014, 7476-2014 y 7560-2014, entre otros, pues parten de los mismos presupuestos tanto respecto de los preceptos cuestionados del Real Decreto Legislativo 2/2008 como de los preceptos constitucionales con los que, en su caso, entrarían en contradicción,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lo afirmado en los mismos concluye que procede declarar la inadmisión de la presente cuestión de inconstitucionalidad por pérdida sobrevenida de objeto de la presente cuestión de inconstitucionalidad respecto de los arts. 23.1 a), en los términos de la STC 141/2014, y 25.2 a) del Real Decreto Legislativo 2/2008, y declarar manifiestamente infundada la presente cuestión de inconstitucionalidad respecto de los arts. 12, 23.2 y 25.1 del Real Decreto Legislativo 2/2008.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que plantea la cuestión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el Tribunal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partiendo de lo resuelto en los AATC 6/2016, 7/2016, 8/2016 y 10/2016, de 19 de enero, considera que procede declarar la inadmisión de la presente cuestión de inconstitucionalidad por pérdida sobrevenida de objeto respecto de los arts. 23.1 a), en los términos de la STC 141/2014, y 25.2 a) del Real Decreto Legislativo 2/2008, y declarar manifiestamente infundada la presente cuestión de inconstitucionalidad respecto de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25.2 a) del Real Decreto Legislativo 2/2008 ha sido declarado inconstitucional y nulo por la STC 218/2015, de 22 de octubre. El art. 164 CE, y también el art. 38 LOTC, disponen que las Sentencias del Tribunal Constitucional que declaren la inconstitucionalidad de una ley tengan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que la Sala descarta implícitamente sea el que concurre en el supuesto que ha dado origen a esta cuestión, en el que el propietario del suelo valorado ha sido privado por completo de su propiedad, a causa de la expropiación en favor de la beneficiaria. De ahí que el art. 25.2.b)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