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725-2015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6 de febrero de 2015 tuvo entrada en el Registro General de este Tribunal un oficio de la Sección Segunda de la Sala de lo Contencioso-Administrativo del Tribunal Superior de Justicia de Castilla-La Mancha, al que se acompaña, junto al testimonio del procedimiento ordinario núm. 123-2011, el Auto de 12 de enero de 2015,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persona física, propietaria de fincas afectadas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las fincas, que se encontraban en situación de rústicas.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24 de noviembre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respecto de los arts. 23.2, en relación con el art. 12, y 25 del Real Decreto Legislativo 2/2008, por su aparente contradicción con 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de 11 de septiembre, no los había declarado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12 de enero de 2015,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procedimiento.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sobre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el Jurado Regional de Valoraciones tasó los bienes haciendo aplicación del art. 23 en sus apartados 1 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proyecto de singular interés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limitados por las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cualquier método que de manera manifiesta impida dar con un valor real, valor que a nuestro juicio equivale a un valor que sea próximo al del mercado propio del bien de que se trate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Solo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proyecto de singular interés que motiva la expropiación; y que el propio proyecto de singular interés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proyecto de singular interés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proyecto de singular interés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 33.3 CE y el 14 CE”. Y sobre la constitucionalidad del régimen previsto en el artículo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 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 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2015, la Sección Segunda del Tribunal Constitucional acordó oír al Fiscal General del Estado para que, en el plazo de diez días, y a los efectos que determina el art. 37.1 LOTC, alegase lo que considerase conveniente acerca de la admisibilidad de la presente cuestión de inconstitucionalidad “en relación con la pérdida de objeto de la cuestión de inconstitucionalidad respecto al art. 25.2 a) del Real Decreto Legislativo 2/2008 y de su carácter notoriamente infundado (por efecto de lo resuelto en la STC 218/2015, de 22 de octubre) respecto a los otros preceptos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4 de febrero de 2016, en el que afirma que la presente cuestión de inconstitucionalidad debe ser resuelta siguiendo la dicción de los Autos de 19 de enero de 2016 dictados por este Tribunal en las cuestiones de inconstitucionalidad 6246-2014, 7766-2014, 7476-2014 y 7560-2014, entre otros, pues parten de los mismos presupuestos tanto respecto de los preceptos cuestionados del Real Decreto Legislativo 2/2008 como de los preceptos constitucionales con los que, en su caso, entrarían en contradicción,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lo afirmado en los mismos concluye que procede declarar la inadmisión de la presente cuestión de inconstitucionalidad por pérdida sobrevenida de objeto de la presente cuestión de inconstitucionalidad respecto de los arts. 23.1 a), en los términos de la STC 141/2014, y 25.2 a) del Real Decreto Legislativo 2/2008, y declarar manifiestamente infundada la presente cuestión de inconstitucionalidad respecto de los arts. 12, 23.2 y 25.1 del Real Decreto Legislativo 2/2008.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que plantea la cuestión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el Tribunal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partiendo de lo resuelto en los AATC 6/2016, 7/2016, 8/2016 y 10/2016, de 19 de enero, considera que procede declarar la inadmisión de la presente cuestión de inconstitucionalidad por pérdida sobrevenida de objeto respecto de los arts. 23.1 a), en los términos de la STC 141/2014, y 25.2 a) del Real Decreto Legislativo 2/2008, y declarar manifiestamente infundada la presente cuestión de inconstitucionalidad respecto de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25.2 a) del Real Decreto Legislativo 2/2008 ha sido declarado inconstitucional y nulo por la STC 218/2015, de 22 de octubre. El art. 164 CE, y también el art. 38 LOTC, disponen que las Sentencias del Tribunal Constitucional que declaren la inconstitucionalidad de una ley tengan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que la Sala descarta implícitamente sea el que concurre en el supuesto que ha dado origen a esta cuestión, en el que el propietario del suelo valorado ha sido privado por completo de su propiedad, a causa de la expropiación en favor de la beneficiaria. De ahí que el art. 25.2.b)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