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4866-2016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septiembre de 2016 tuvo entrada en el registro generañ de este Tribunal un escrito del Juzgado de lo Contencioso-Administrativo núm. 1 de Jerez de la Frontera, al que se acompaña, junto al testimonio del correspondiente procedimiento, Auto de 25 de julio de 2016, recaído en el recurso contencioso-administrativo núm. 446-2015, por el que se acuerda promover ante este Tribunal cuestión de inconstitucionalidad respecto el art. 107 del Real Decreto Legislativo 2/2004, de 5 de marzo, por el que se aprueba el texto refundido de la Ley reguladora de las haciendas locales, por posible vulneración del art.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del precepto legal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del precepto legal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4866-2016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