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la cuestión de inconstitucionalidad núm. 4867-2016 y apartarle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septiembre de 2016 tuvo entrada en el registro general de este Tribunal un escrito del Juzgado de lo Contencioso-Administrativo núm. 1 de Jerez de la Frontera, al que se acompaña, junto al testimonio del correspondiente procedimiento, Auto de 25 de julio de 2016, recaído en el recurso contencioso-administrativo núm. 670-2015, por el que se acuerda promover ante este Tribunal cuestión de inconstitucionalidad respecto el art. 107 del Real Decreto Legislativo 2/2004, de 5 de marzo, por el que se aprueba el texto refundido de la Ley reguladora de las haciendas locales, por posible vulneración del art.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24 de enero de 2017 el Magistrado don Juan Antonio Xiol Ríos comunicó su voluntad de abstenerse en el conocimiento de la presente cuestión de inconstitucionalidad por entender que concurría la causa 10 del art. 219 de la Ley Orgánica del Poder Judicial, porque en la actualidad mantiene pendiente de resolución por parte del Ayuntamiento de Madrid una solicitud de reintegro de ingresos indebidos que trae causa de la aplicación del precepto legal cuya constitucionalidad se cuestiona en el presente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al mantener en la actualidad pendiente de resolución por parte del Ayuntamiento de Madrid una solicitud de reintegro de ingresos indebidos que trae causa de la aplicación del precepto legal cuya constitucionalidad se cuestiona en el presente procedimiento, está incurso en la causa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la cuestión de inconstitucionalidad núm. 4867-2016 y apartarle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