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4286-2013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4286-2013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desaparición sobrevenida del objeto del incidente sobre el mantenimiento o levantamiento de la suspensión del Decreto-ley 6/2013, de 9 de abril, de medidas para asegurar el cumplimiento de la función social de la vivienda.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9 de julio de 2013 el Abogado del Estado, en nombre del Presidente del Gobierno, interpuso recurso de inconstitucionalidad contra el artículo 1, en tanto que da nueva redacción a los arts. 1.3, 25 y 53.1 a) de la Ley 1/2010, de 8 de marzo, reguladora del derecho a la vivienda en Andalucía, y la disposición adicional segunda del Decreto-ley 6/2013, de 9 de abril, de medidas para asegurar el cumplimiento de la función social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disposición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julio de 2013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al Gobierno y al Parlamento de Andalucía, por conducto de sus Presidentes, al objeto de que en el plazo de quince días pudieran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tener por invocado por el Presidente del Gobierno el art. 161.2 de la Constitución, lo que, a su tenor y conforme dispone el art. 30 LOTC, produce la suspensión de la vigencia y aplicación del Decreto-ley impugnado, desde la fecha de interposición del recurso —9 de julio de 2013— para las partes del proceso y desde el día en que aparezca publicada la suspensión en el “Boletín Oficial del Estado” para los terceros, lo que se comunicará a los Presidentes del Gobierno y del Parlamento de Andalucía. Por último también se ordenó publicar la incoación del recurso en el “Boletín Oficial del Estado” y en el “Boletín Oficial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Letrada de la Junta de Andalucía, en la representación que ostenta, se personó en el proceso por escrito registrado el día 22 de julio de 2013, solicitando una prórroga en el plazo conferido para formular alegaciones, prórroga que, por plazo de ocho días a contar desde el siguiente a la expiración del ordinario inicialmente conferido, le fue concedida por providencia del Pleno del Tribunal Constitucional de idéntica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Andalucía, en nombre y representación de la Cámara, se personó en el proceso por escrito registrado el día 29 de julio de 2013, solicitando una prórroga en el plazo conferido para formular alegaciones, prórroga que, por plazo de ocho días a contar desde el siguiente a la expiración del ordinario inicialmente conferido, le fue concedida por providencia del Pleno del Tribunal Constitucional de 30 de julio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Congreso de los Diputados comunicó, mediante escrito registrado en este Tribunal Constitucional el día 29 de julio de 2013, que la Cámara se personaba en el proceso, ofreciendo su colaboración. Por escrito registrado el día 6 de septiembre de 2013 el Presidente del Senado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el Registro General de este Tribunal Constitucional el día 31 de julio de 2013 la Letrada de la Junta de Andalucía, en la representación que le es propia, solicitó el levantamiento de la suspensión de la disposición impugnada antes de que transcurra el plazo de cinco meses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destaca, de un lado, que procede el levantamiento de esa suspensión de forma inmediata porque el plazo constitucionalmente previsto ha de entenderse como máximo y no impide dejar sin efecto la suspensión durante el mismo y, de otro, que la suspensión prevista en el art. 161.2 CE tiene carácter excepcional por ser contraria al principio de presunción de legitimidad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después la reiterada doctrina constitucional sobre este tipo de incidentes, según la cual, para su resolución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ha de efectuarse mediante el estricto examen de las situaciones de hecho creadas y al margen de la viabilidad de las pretensiones que se formulan en la demanda. Además, recuerda que el mantenimiento de la suspensión requiere que el Gobierno de la Nación, a quien se debe la iniciativa, aporte y razone con detalle los argumentos que justifiquen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sostiene que mantener la suspensión de la norma impugnada dañaría el interés público consistente en el cumplimiento por los poderes públicos de los mandatos contenidos en los arts. 1, 10.1 y 47 CE, pues priva a la Junta de Andalucía de los instrumentos de intervención pública de los que se ha dotado para garantizar a los ciudadanos el disfrute de su derecho a una vivienda digna. Dicho mantenimiento de la suspensión también dañaría, a su juicio, a los ciudadanos andaluces en la medida que les impide ser beneficiarios de la expropiación del uso de los inmuebles en que tienen su residencia habitual, particularmente a aquellos que ya hubieran instado el procedimiento administrativo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su opinión, levantar la suspensión de los preceptos recurridos no produce los daños a los intereses generales estatales que se argumentan en el escrito de interposición. Las medidas adoptadas por la norma impugnada no compromete gravemente el proceso de reestructuración del sector financiero español y, en consecuencia, no afectan al alza a la “prima de riesgo” ni disminuyen el flujo del crédito a la economía real. En este sentido objeta por distintos motivos los informes del Banco de España y de la Sociedad de gestión de activos procedentes de la reestructuración bancaria, así como la carta dirigida por la comisión europea al Secretario de Estado de Economía y Apoyo a la Empresa del Ministerio de Economía y Competitividad, alegando además que son las decisiones jurisdiccionales de paralización de desahucios sobre bienes inmuebles los que provocan esa reacción negativa respecto de los activos inmobiliarios españoles y, de otro lado, que otros países europeos se han dotado de mecanismos similares o más gravosos sin que se haya sostenido que afecta al mercado hipotecario de un modo tan decisivo, incidencia descartada también en el informe emitido en abril de 2012 por el Colegio de Registradores de España, del que resalta que “los volúmenes de procedimientos de ejecución de hipoteca iniciados, adjudicaciones por ejecución de hipoteca y daciones en pago son pequeños en términos macroeconómicos con relación al volumen de hipotecas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Junta de Andalucía y la Letrada del Parlamento de Andalucía, en la representación que cada una de ellas ostenta, presentaron sendos escritos de alegaciones respectivamente los días 13 y 23 de septiembre de 2013, interesando en ambos casos la desestimación del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por providencia de 24 de septiembre de 2013, acordó incorporar a los Autos los escritos de alegaciones que formulan las Letradas de la Junta y del Parlamento de Andalucía, y dar traslado al Abogado del Estado y a la Letrada del Parlamento de Andalucía copia del escrito de la Letrada de la Junta de Andalucía en el que se interesa el levantamiento de la suspensión de los preceptos impugnados, concediéndoles un plazo de cinco días para que expongan lo que estimen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con fecha 3 de octubre de 2013, evacuó el trámite conferido, formulando las alegaciones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modo preliminar, se refiere a la consolidada doctrina constitucional respecto de esta clase de incidentes, lo que hace en términos análogos a como lo hizo la Letrada de la Junta de Andalucía, y destaca que el Parlamento de Andalucía, en sesión plenaria celebrada el día 25 de septiembre de 2013, aprobó el proyecto de ley 9-13/PL-000002, de medidas para asegurar el cumplimiento de la función social de la vivienda, norma que sustituye al Decreto-ley 6/2013 objeto de este recurso de inconstitucionalidad, anunciando también que en esa fecha aún no había sido publicado oficialmente.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afirma que en el informe del Ministerio de Economía y Competitividad que se adjunta se ofrecen las razones que avalan el mantenimiento de la suspensión de la norma recurrida, teniendo únicamente en cuenta los perjuicios de imposible o difícil reparación que su eficacia puede producir. Señala que ese informe, que recoge las conclusiones de sendos informes del Banco de España y de la Sociedad de gestión de activos procedentes de la reestructuración bancaria que también se acompañan, así como la comisión europea y las asociaciones representativas del sector financiero son unánimes al valorar negativamente el impacto de la norma andaluza en la actividad y el plan de negocio de la Sociedad de gestión de activos procedentes de la reestructuración bancaria, lo que incrementará los costes de reestructuración asumidos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presunción de legitimidad del Decreto-ley 6/2013 el Abogado del Estado alega que los efectos que el levantamiento de la suspensión pueda tener sobre la incertidumbre, la inseguridad jurídica o simplemente la falta de confianza en el modelo de reestructuración incide de lleno en la política económica general, pues el Gobierno al diseñarla considera elemento esencial mejorar en tales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el interés público ligado a los arts. 1, 10.1 y 47 CE lo garantiza el Estado con medidas de efecto similar a las recurridas, las cuales implican duplicación y generan confusión. Así el Real Decreto-ley 27/2012, de 15 de noviembre, de medidas urgentes para reforzar la protección a los deudores hipotecarios (sustituido actualmente por la Ley 1/2013, de 14 de mayo), prevé la suspensión inmediata y por un plazo de dos años de los desahucios de las familias en situación de especial riesgo de exclusión y ha dado lugar a que el Gobierno y las entidades de crédito hayan firmado un convenio para la creación de un fondo social de viviendas, propiedad de las entidades, ofrecidas en régimen de alquiler social a personas en situación de especial vulnerabilidad que hubieran sido desalojadas de su vivienda por impago de un préstamo hipotecario. Además, señala el Abogado del Estado, ese interés público ha de compaginarse con el que subyace en otros preceptos constitucionales como el art. 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interés de los ciudadanos que hubieran instado un procedimiento administrativo al efecto de ser beneficiarios de la expropiación del uso de los inmuebles en que tienen su residencia habitual, el Abogado del Estado afirma que “de ningún modo puede admitirse este argumento … dado que ello equivaldría, ni más ni menos, al otorgamiento de la primacía del mantenimiento de los hechos consumados sobre cualquier argumentación de índole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también que los informes del Banco de España y de la Sociedad de gestión de activos procedentes de la reestructuración bancaria que se adjuntan acreditan perjuicios indudables sobre el sector financiero. De un lado, el riesgo de incumplimiento de los compromisos asumidos en virtud del memorando de entendimiento firmado por España el 20 de julio de 2012. De otro, el impacto significativo que se producirá sobre la situación de la entidades financieras, el crédito hipotecario, el mercado de cédulas hipotecarias y la culminación del proceso de reforma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considera el Abogado del Estado, que los perjuicios del levantamiento de la suspensión de la norma impugnada se contemplan mejor si hacemos el ejercicio de generalizar sus medidas a todo el territorio nacional, razonamiento que este Tribunal ha admitido como legítimo en los incidentes de suspensión (ATC 87/2012, de 10 de mayo, FJ 4), advirtiendo que ya la Comunidad Foral de Navarra ha dictado la Ley 24/2013, de 2 de julio, de medidas urgentes para garantizar el derecho a la vivienda, de contenido muy similar a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del Parlamento de Andalucía, con fecha 7 de octubre de 2013, evacuó el trámite conferido, formulando las alegaciones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el alzamiento de la suspensión de los preceptos impugnados se justifica tanto por el interés general que existe en el despliegue de la eficacia de las leyes, revestidas como están de una presunción de constitucionalidad, y también en que se cumpla el principio rector establecido en el art. 47 CE, como por el interés particular de las personas beneficiarias de las medidas que dichos preceptos prevén. Dicho alzamiento, sigue diciendo, es más necesario en los momentos actuales, en los que los recortes presupuestarios privan a las Administraciones públicas de los fondos necesarios para incrementar el parque público de viviendas protegidas con las que atender las necesidades habitacionales de la población, apuntando que los Registros municipales de vivienda protegida reflejan que en Andalucía hay 50.000 familias demandantes de una vivienda en arrendamiento mientras que las viviendas públicas están ocupadas en su casi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alude a los perjuicios irreparables que se derivarían de que se mantuviera la suspensión de la disposición adicional segunda del Decreto-ley 6/2013, que concreta en el daño que sufren los eventuales beneficiarios de la expropiación del uso de las viviendas ejecutadas, atendiendo en especial a que durante los meses que la norma estuvo en vigor se registraron 150 solicitudes, que se encuentran pendientes de resolución por la suspensión de la eficacia de dicha disposición causada por la admisión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que mantener la suspensión de los arts. 1.3 y 25 de la Ley 1/2010, en la redacción que les da el Decreto-ley 6/2003, también produce perjuicios irreparables porque regulan el deber de ocupar efectivamente la vivienda y el concepto de vivienda deshabitada, que son el eje central en torno al cual se articulan todas las medidas de fomento y policía que establecen los nuevos títulos VI y VII de dicha Ley 1/2010, incorporados por el Decreto-ley 6/2003. Lo mismo sucede, a su juicio, con el art. 53.1 a) porque prevé una medida sancionadora que contribuye de un modo esencial a la plena efectividad de las medidas sustantivas que introduce 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rechaza los argumentos vertidos en la demanda por el Abogado del Estado para justificar el mantenimiento de la suspensión de los preceptos impugnados. Destaca, en primer lugar, que tales razones se fundan en la carta de la Comisión Europea y en el informe de la Sociedad de gestión de activos procedentes de la reestructuración bancaria, documentos a los que no se puede reconocer eficacia probatoria, pues las afirmaciones del primero se encuentran formuladas de forma meramente hipotética y están desprovistas de datos fácticos que apoyen su realidad (AATC 123/2013, FJ 4; y 154/2013, FFJJ 4 y 5) y porque el segundo carece de fecha y de firma, no permitiendo determinar la persona que lo realiza o lo encarga, ni el carácter oficial del mismo (ATC 238/2012). Además, dado que la Sociedad de gestión de activos procedentes de la reestructuración bancaria es una sociedad anónima en cuyo capital participan mayoritariamente entidades privadas y cuya misión consiste en gestionar y vender los activos recibidos tratando de obtener el máximo valor por ellos, se trata de un informe de parte con el que se pretende defender los intereses de accionistas e inversores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sostiene que, en los términos que resultan de los documentos 8 a 11 de los aportados por la Junta de Andalucía junto a su escrito de alegaciones, el alzamiento de la suspensión de los preceptos impugnados no produce los perjuicios que el Abogado del Estado argumenta. Pero es que, además, aun en la hipótesis de que la aplicación de los preceptos impugnados pudiera producir tales perjuicios, los mismos solo afectarían a los accionistas e inversores de la Sociedad de gestión de activos procedentes de la reestructuración bancaria, que vería reducidas sus expectativas de ganancia, y es claro que sus intereses no pueden prevalecer sobre el interés general que persiguen las disposiciones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Parlamento de Andalucía ha aprobado la ley 4/2013, de 1 de octubre, de medidas para asegurar el cumplimiento de la función social de la vivienda, norma que, publicada en el “Boletín Oficial de la Junta de Andalucía” (“BOJA”) el día 8 de octubre, ha entrado en vigor al día siguiente de su publicación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Ley 4/2013 es resultado de que el Pleno del Parlamento de Andalucía, aparte de convalidar el Decreto-ley 6/2013, de 9 de abril, que es el objeto de este recurso de inconstitucionalidad, acordase su tramitación como proyecto de ley por el procedimiento de urgencia. Su artículo 1 modifica la redacción de los arts. 1.3, 25 y 53.1 a) de la Ley 1/2010, de 8 de marzo, reguladora del derecho a la vivienda en Andalucía, en los mismos términos que lo hacía el art. 1 del Decreto-ley 6/2013. Por su parte, su disposición adicional primera recoge íntegramente los contenidos de la disposición adicional segunda del Decreto-ley 6/2013, si bien que ampliándolos.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como la disposición derogatoria única de la Ley 4/2013 dispone que “quedan derogadas cuantas disposiciones legales o reglamentarias se opongan a lo establecido en esta ley”, no cabe sino concluir que el Decreto-ley 6/2013, en particular los preceptos objeto de este recurso de inconstitucionalidad, ha quedado derogado.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los artículos impugnados en este proceso constitucional tampoco conservan ultraactividad de ningún tipo. Así, la redacción de los arts. 25 y 53.1 a) de la Ley 1/2010, de 8 de marzo, reguladora del derecho a la vivienda en Andalucía, dada por el art. 1 del Decreto-ley 6/2013, que gira en torno a la declaración de una vivienda como deshabitada y la sanción de algunas personas jurídicas que mantengan las viviendas de su propiedad en tal situación, carecen de toda ultraactividad porque el tiempo en que estuvieron vigentes (desde el día siguiente a su publicación oficial, que se produjo en el “BOJA” del 11 de abril de 2013, hasta el día 9 de julio de 2013 en que se interpuso el recurso de inconstitucionalidad) no alcanzó los seis meses —contados desde la entrada en vigor del Decreto-ley 6/2013 (disposición final cuarta)— que se requieren para que una vivienda se entienda deshabitada (art. 25.2), de modo que ningún procedimiento administrativo de este tipo puede estar iniciado y, si no hay ninguna declaración administrativa de vivienda deshabitada, no puede en ningún caso haberse realizado la conducta sancionada por el art 53.1 a). Por su parte, la redacción dada por el art. 1 del Decreto-ley 6/2013 al art 1.3 de la Ley 1/2010, de 8 de marzo, reguladora del derecho a la vivienda en Andalucía, tampoco presenta ultraactividad alguna porque se limita a señalar un deber del propietario que solo tiene manifestación concreta a través de las previsiones reguladas en los arts. 25 y 53.1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Caso en parte distinto es el de la disposición adicional segunda del Decreto-ley 6/2013, derogada ahora por oponerse a ella la disposición adicional primera de la Ley 4/2013. En aplicación de dicha disposición adicional segunda del Decreto-ley 6/2013, como pone de relieve la Junta de Andalucía, se incoaron, mientras tal norma estuvo vigente desde el 11 de abril de 2013 hasta el día 9 de julio de 2013, más de un centenar de procedimientos de expropiación del uso de la vivienda habitual, los cuales están pendientes de resolución. Ahora bien, tampoco respecto de ellos se puede predicar la ultraactividad del Decreto-ley 6/2013, pues la disposición transitoria segunda de la Ley 4/2013 dispone que “los procedimientos y actuaciones administrativas instruidas al amparo de lo dispuesto en la disposición adicional segunda del Decreto-ley 6/2013, de 9 de abril, que estuvieran siendo objeto de tramitación a la entrada en vigor de la presente ley, continuarán tramitándose conforme a la disposición adicional primera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lo anterior, y sin que ello signifique pronunciamiento alguno sobre el fondo del asunto planteado en el presente proceso constitucional, no es posible que este Tribunal resuelva acerca del levantamiento o mantenimiento de la suspensión de una disposición que no se encuentra vigente por haber sido derogada por el legislador autonómico (en el mismo sentido, AATC 354/1989, de 20 de junio, FJ único; 224/2009, de 27 de julio, FJ 1; 57/2010, de 19 de mayo, FJ único; 87/2013, de 23 de abril, FJ único), por lo que debemos concluir que el objeto del presente incidente ha desaparecido sobrevenidamente.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desaparición sobrevenida del objeto del incidente sobre el mantenimiento o levantamiento de la suspensión del Decreto-ley 6/2013, de 9 de abril, de medidas para asegurar el cumplimiento de la función social de la vivienda.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