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1542-2018, promovido por el abogado del Estado, en representación de la Administración General del Estado, contra la sentencia de la Sección Tercera de la Sala de lo Contencioso-Administrativo del Tribunal Supremo de 12 de diciembre de 2017, recaída en el recurso de casación núm. 3312-2015, y contra el auto de 1 de febrero de 2018, que desestimó el incidente de nulidad de actuaciones promovido frente a la referida sentencia. Ha comparecido la entidad Productora Eléctrica Urgelense, S.A.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marzo de 2018, el abogado del Estado, en representación de la Administración General del Estado,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7 de mayo de 2014, la mercantil Productora Eléctrica Urgelense, S.A., interpuso recurso contencioso-administrativo contra la Orden IET/350/2014, de 7 de marzo, por la que se fijan los porcentajes de reparto de las cantidades a financiar relativas al bono social correspondientes a 2014 (en adelante Orden IET/350/2014). Dicha orden fue dictada en desarrollo del art 45.4 de la Ley 24/2013, de 29 de diciembre, del sector eléctrico (en adelante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al presente recurso, la entidad recurrente solicitó que se declarase la invalidez e inaplicación de la Orden IET/350/2014 y del art. 45.4 LSE, por vulnerar lo dispuesto en el art 3 de la Directiva 2009/72/CE del Parlamento Europeo y del Consejo, de 13 de julio de 2009, sobre normas comunes para el mercado interior de la electricidad (en adelante Directiva 2009/72/ CE), en la medida que el mecanismo de financiación del bono social es discriminatorio y no garantiza a las empresas eléctricas de la Unión Europea el acceso en igualdad de condiciones a los consumidores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citado recurso contencioso-administrativo, registrado con el núm. 179-2014, conoció la Sección Cuarta de la Sala de lo Contencioso-Administrativo de la Audiencia Nacional que, tras la tramitación del procedimiento, dictó sentencia desestimatoria en fecha 16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sentencia la referida mercantil interpuso recurso de casación, del que, con el núm. 3312-2015, conoció la Sección Tercera de la Sala de lo Contencioso-Administrativo del Tribunal Supremo. Dicho tribunal dictó sentencia, de fecha 12 de diciembre de 2017, que fue estimatoria del recurso de casación y anuló la sentencia recurrida. En lo que atañe a este recurso, declaró la nulidad de la Orden IET/350/2014, al haber sido dictada en desarrollo del art 45.4 LSE. La referida resolución se remite a las sentencias de la misma sala, de fechas 24 de octubre de 2016 (recursos contencioso-administrativos núms. 960-2014 y 961-2014), 25 de octubre de 2016 (recurso núm. 16-2015) y 2 de noviembre de 2016 (recurso núm. 11-2015), en las que se declara inaplicable el régimen de financiación del bono social establecido en el artículo 45.4 LSE, por resultar incompatible la Directiva 2009/72/CE; asimismo, se declaran también no aplicables y nulos los artículos 2 y 3 del Real Decreto 968/2014, de 21 de noviembre, que desarrollan lo dispuesto en el citado artículo 45.4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referente las resoluciones recaídas en el recurso contencioso-administrativo núm. 961-2014, el tribunal de casación trae a colación el siguiente apartado del fundamento jurídico séptimo de la sentencia de 24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24/2013 no contiene una relación nominal de las empresas o grupos de empresas que deben asumir la financiación del bono social. Fue la Orden IET/350/2014, de 7 de marzo, por la que se fijan los porcentajes de reparto de las cantidades a financiar relativas al bono social correspondientes a 2014 —orden dictada en aplicación de lo previsto en el artículo 45.4 de la Ley 24/2013 , pero antes de que se hubiese producido el desarrollo reglamentario de ésta mediante el Real Decreto 968/2014— la que vino a identificar a las entidades concernidas y a fijar los porcentajes de reparto de las cantidades a financiar relativas al bono social correspondiente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transcribe el siguiente razonamiento del auto de la Sala de lo Contencioso-Administrativo del Tribunal Supremo de 18 de septiembre de 2017 (recurso núm. 961-2014):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señalado en la propia sentencia que la Orden IET/350/2014 fue dictada en aplicación de lo previsto en el artículo 45.4 de la Ley 24/2013, y como sabemos, en el apartado 2 de la parte dispositiva de la sentencia se acuerda ‘2. Declarar inaplicable el régimen de financiación del bono social establecido en el artículo 45.4 de la Ley 24/2013, de 26 de diciembre, por resultar incompatible con la Directiva 2009/72/CE...’. Por tanto, bien podría decirse que la Orden IET/350/2014 tiene el mismo vicio de origen que el Real Decreto 968/2014, de 21 de noviembre, por cuanto ambos traen causa de un precepto legal que ha sido declarado inaplicable por resultar incompatible con la norma comunitaria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sentencia no declara la nulidad de la Orden IET/350/2014 —no era objeto de impugnación en el proceso ni se formulaba pretensión respecto de ella— y en los apartados 3/ y 4/ del fallo se declaran inaplicables y nulos los artículos 2 y 3 del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pronunciamientos trascritos, la sentencia del Tribunal Supremo extrae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así que el vicio de origen que aqueja a la Orden IET/350/2014 aparece ya señalado de forma anticipada en los autos dictados en ejecución de las sentencias que declaran inaplicable el régimen de financiación del bono social establecido en el artículo 45.4 de la Ley 24/2013 e inaplicables y nulos los artículos 2 y 3 del Real Decreto 968/2014. Y si tales autos no declararon la nulidad de la Orden IET/350/2014 fue, sencillamente, porque la orden no había sido objeto de impugnación en el proceso ni se había formulado pretensión respecto de ella. Además, en los propios autos quedaba señalado que no debíamos interferir entonces en lo que era objeto de otros litigios, pues la Orden IET/350/2014 había sido objeto de impugnación en diferentes recursos seguidos ante la Sala de lo Contencioso-Administrativo de la Audiencia Nacional y contra las sentencias recaídas en tales procesos se habían interpuesto recursos de casación que se encontraban en aquel momento pendientes de resolución (recurso de casación 3127-2015, 3332-2015, 3374-2015, 3864-2015, 3875-2015, 3885-2015, 122-2016, 149-2016 y 714-2016)”.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la abogacía del Estado interpuso incidente de nulidad de actuaciones, en fecha 4 de enero de 2018, en el que alegó vulneración de los derechos a la tutela judicial efectiva y a un proceso con todas las garantías (art. 24.1 y 2 CE), por no haber planteado el órgano judicial cuestión prejudicial al ante el Tribunal de Justicia de la Unión Europea (TJUE) y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Supremo desestimó dicho incidente de nulidad por auto de fecha 1 de febrero del 2018. En relación con la falta de planteamiento de la cuestión prejudicial, el órgano judicial rechaza que se hayan producido las vulneraciones objeto de denuncia, toda vez que en las sentencias antes citadas, de fechas 24 de octubre de 2016 (dos sentencias con esa fecha, dictadas en los recursos 960-2014 y 961-2014), 25 de octubre de 2016 (recurso núm. 16-2015) y 2 de noviembre de 2016 (recurso núm. 11-2015), se explicitan las causas por las que no resulta precisa su formulación. En concreto,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reiteraremos aquí las razones que dimos entonces, que la abogacía del Estado conoce, sin duda, pues la Administración fue parte en todos aquellos procesos. Lo que interesa destacar ahora es que si el planteamiento de cuestión prejudicial ante el Tribunal de Justicia de la Unión Europea se consideró innecesario entonces, con mayor razón resultará innecesario el planteamiento de la cuestión prejudicial para declarar la nulidad de una orden que fue dictada en desarrollo del precepto legal que entonces se declaró inaplicable por ser contrario al ordenamiento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análogas a las señaladas también se descarta la queja por no haberse planteado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por sentencia firme había sido declarado inaplicable el artículo 45.4 de la Ley 24/2013, por contravenir el Derecho de la Unión Europea, la constatación de que la Orden IET/350/2014 había sido dictada precisamente en desarrollo de aquel precepto legal llevaba directamente a la conclusión de que dicha orden debía ser declarada nula, sin que para hacer tal pronunciamiento resultase necesario el previo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desecha la queja de haber incurrido en incongruencia omisiva,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motivo de nulidad se ciñe a la falta de examen en la sentencia de los argumentos esgrimidos por la abogacía del Estado en su escrito de oposición del recurso de casación, lo cierto es que la razón dada en la sentencia para declarar nula la Orden IET/350/2014 —esto es, la existencia de pronunciamientos judiciales firmes que declaran inaplicable el precepto legal a que dicha orden sirve de desarrollo— hacía innecesario el examen de aquellos argumentos de oposición, como innecesario se consideró también el examen de los motivos de casación formulados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representada por el abogado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 Tras destacar los aspectos más relevantes del procedimiento judicial, la administración recurrente justifica la especial trascendencia constitucional del recurso en los términos que, a continuación, se exponen: el Tribunal Constitucional carece de doctrina consolidada respecto del criterio de identidad o evidencia al que los órganos jurisdiccionales deben sujetarse para poder, en aplicación de la jurisprudencia del Tribunal de Justicia, exonerarse de plantear cuestión prejudicialcon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Esa temática ostenta una clara relevancia pues, conforme así se afirma en la STC 232/2015, dejar de aplicar una ley interna sin previamente plantear cuestión prejudicial ante el Tribunal de Justicia,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esa perspectiva, estima que lo que en esta sede debe resolverse no atañe al eventual acierto del órgano judicial al resolver el litigio, pues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al entender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 Insiste en que, sobre este aspecto o cuestión, aún no se ha fijado de manera definitiva doctrina por parte del Tribunal Constitucional y la solución que propone es que, en esta sede, se acoten restrictivamente las facultades interpretativas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demanda se refiere exclusivamente a las sentencias del propio Tribunal Supremo a las que se remite la impugnada en este recurso de amparo.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Afirma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combatida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Afirma que, ni puede imponerse con tal evidencia la similitud entre dichos asuntos, de manera que no quepa albergar duda razonable sobre la solución de la cuestión, ni tampoco la cuestión suscitada es materialmente idéntica a otra anterior que hubiera sido objeto de una decisión prejudicial. Considera que el Tribunal Supremo sustenta la aplicación al caso de la doctrina del “acto aclarado” en las sentencias recaídas en los asuntos Federutility y Anode, que según su criterio constituyen supuestos análogos que, conforme a la “doctrina Cilfit”, justifican la inaplicación del art. 45.4 de la LSE. Sin embargo, respecto de la STJUE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por el contrario,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administración, esta cuestión no puede estimarse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la demanda la segunda de las sentencias traídas a colación por el Tribunal Supremo; esto es, la STJUE de 7 de septiembre de 2016 —asunto Anode— cuya doctrina tampoco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 Al margen de lo expuesto,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establecidas,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invoca algunos de los argumentos que figuran en el voto particular formulado por el magistrado disidente; en síntesis, que concurren diferencias sustanciales entre el caso resuelto por el Tribunal de Justicia de la Unión Europea y los presupuestos fácticos y jurídicos examinados en el recurso contencioso-administrativo tramitado por el Tribunal Supremo, por lo que no resulta aplicable la doctrina del “acto aclarado” a fin de eludir el planteamiento de la cuestión prejudicial. También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de la Unión Europea; y iii) el juez nacional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julio de 2018, la sección tercera de este Tribunal acordó la admisión a trámite de la demanda de amparo presentada, al apreciar que concurre en el mismo una especial trascendencia constitucional (art. 50.1 LOTC), ya que el recurso plantea un problema o afecta a una faceta de un derecho fundamental sobre el que no hay doctrina de este Tribunal [STC 155/2009, FJ 2, a)]. En aplicación de lo dispuesto en el art. 51 de la Ley Orgánica del Tribunal Constitucional (LOTC), se acordó remitir atenta comunicación a la Sección Tercera de la Sala de lo Contencioso-Administrativo del Tribunal Supremo a fin de que, en plazo que no exceda de diez días, remitiera certificación o fotocopia adverada de las actuaciones correspondientes al recurso de casación núm. 3312-2015. Asimismo se resolvió dirigir atenta comunicación a la Sección Cuarta de la Sala de lo Contencioso-Administrativo de la Audiencia Nacional, para que, en el mismo plazo, remitiese certificación o fotocopia adverada de las actuaciones correspondientes al recurso contencioso-administrativo núm. 179-2014 y, a su vez,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fecha 14 de septiembre de 2018, la entidad Productora Eléctrica Urgelense, S.A., representada por la procuradora de tribunales doña Cecilia Díaz-Caneja Rodríguez y asistida por la letrada doña Irene Bartol Mir, interesó que se la tuviera por personada y parte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tercera de este Tribunal, de fecha 19 de septiembre de 2018, se tuvo por personado y parte en el procedimiento a la procuradora de tribunales doña Cecilia Díaz-Caneja Rodríguez, en nombre y representación de la entidad Productora Eléctrica Urgelense, S.A. Asimismo, con arreglo a lo dispuesto en el art. 52 LOTC, se acordó conceder traslado a las partes personadas y al ministerio fiscal para que, por plazo común de veinte días, formulasen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el día 17 de octubre de 2018. Tras detallar los antecedentes de los que trae causa el presente recurso de amparo, afirma que el mismo presenta grandes similitudes con núms. 593, 595, 596, 597, todos de 2017, y 1158 y 1342 de 2018. Por ello, advierte que las alegaciones que formula son sustancialmente coincidentes con las ya expuestas en los referidos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contenido del escrito de demanda, señala que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 de relieve que el recurso de amparo no ha perdido su objeto por el hecho de que una norma legal posterior, el Real Decreto-ley 7/2016, de 23 diciembre, haya modificado la redacción del art 45.4 LSE 24/2013, cambiando el régimen de financiación del bono social. Y ello, porque la norma controvertida sigue siendo de aplicación en el proceso de origen, puesto que la sentencia impugnada declaró inaplicable el art. 45.4 LSE y, consecuentemente, anuló la Orden IET/350/2014 porque desarrolla el régimen de financiación establecido por el citado precepto legal. Por ello, la Administración del Estado fue condenada a restituir a la entidad demandante las cantidades que esta satisfizo de conformidad con las normas anuladas, razón por la cual las citadas disposiciones siguen produciendo efectos entre las partes del proceso del que trae causa el presente recurso de amparo. En apoyo de lo expuesto, trae a colación la STC 167/2016, en cuyo FJ 2 se descarta la pérdida de objeto del proceso constitucional, al afirmar que no afecta a la pervivencia de ese objeto el hecho de que ya no estuviera en vigor el régimen de la financiación de los planes de ahorro energético que la disposición adicional tercera del Real Decreto-ley 14/2010 contemplaba, puesto que la citada disposición adicional sí era aplicable en el proceso a quo y de su validez dependía la decisión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ministerio fiscal pasa a explicar el mecanismo del bono social que, según refiere,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su régimen de financiación. Esas disposiciones, recuerda el ministerio público, fueron enjuiciadas en la sentencia de la Sala Tercera del Tribunal Supremo de 7 de febrero de 2012, que apreció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indica que 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prevé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advierte que las sentencias del Tribunal Supremo ya mencionadas, cuya doctrina ha sido aplicada en la controversia judicial que da lugar al presente recurso de amparo, consideran que los criterios reflejados en la exposición de motivos del Real Decreto-ley 9/2013 no justifican el sistema de financiación del bono social que, en síntesis, corre a cargo de las sociedades que realizan simultáneamente las actividades de generación, distribución y comercialización en el sector eléctrico. Tampoco, según la referidas sentencias, aparece debidamente argumentado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del Tratado de funcionamiento de la Unión Europea. Ahora bien, lo expuesto no significa que las decisiones judiciales sobre ese particular estén exentas de cualquier control de constitucionalidad pues, por el contrario, están sujetas al canon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de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 Y añade que 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de Derechos Humanos, que los órganos judiciales nacionales han de justificar, de acuerdo con la doctrina del Tribunal de Justicia de la Unión Europea, los supuestos por los que deciden no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a continuación, que,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propia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de la Unión Europea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 doctrina Cilfit sobre los supuestos de dispensa del planteamiento de la cuestión prejudicial, el ministerio fiscal compendia la argumentación judicial dada en las sentencias a favor de omitir la cuestión prejudicial. Sobre ese particular, pone de relieve que, en el fundamento jurídico 8 de las sentencias a las que se remite la recurrida, se afirma que, en la sentencia de 7 de febrero de 2012, el Tribunal Supremo ya resolvió que no era necesario plantear dicha cuestión respecto de la correcta aplicación del art. 3.2 de la Directiva 2003/54/CE, sobre normas comunes para el mercado interior de la electricidad, puesto que ya existía una decisión prejudicial al respecto; particularmente, la sentencia del Tribunal de Justicia de la Unión Europea de 20 de abril 2010 recaída en el asunto Federutility, que la referida resolución estimó como “acto aclarado”. En relación con el presente supuesto, el órgano judicial también considera que existen decisiones prejudiciales del Tribunal de Justicia en casos análogos; en concreto, la ya citada STJUE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fija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Según manifiesta, el citado Tribunal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entender que pueden ser aplicables, para resolver la cuestión controvertida, unas decisiones prejudiciales del Tribunal de Justicia que se pronuncian sobre la interpretación de la directivas relativas al mercado del gas —y no sobre las del mercado de la electricidad— y además se refieren a otro tipo de obligaciones de servicio público distintas del bono social. Añade que la sentencia del caso Anode versa sobre un supuesto en el que la norma legal controvertida impone a determinadas empresas suministradoras de gas un precio regulado a clientes finales, a fin de garantizar el suministro y la cohesión territorial; por el contrario, el caso que aquí nos ocupa versa sobre una norma que regula el régimen de financiación por parte del sector eléctrico, en relación con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ministerio fiscal entiende que no se ha apreciado correctamente la doctrina del “acto aclarado”, pues el objeto de la decisión prejudicial que fue resuelta por el Tribunal de Justicia de la Unión Europea (caso Anode) no puede ser considerado idéntico o análogo al actual; que se trata de directivas distintas, cuya aplicación se proyecta sobre los mercados interiores de dos productos energéticos diferentes (gas y energía); y que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lo afirmado sobre la falta de explicación de las razones por las que concurren los requisitos del “acto aclarado”, el ministerio fiscal reitera que el tribunal a quo tampoco ha apreciado correctamente la doctrina del “acto aclarado”.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También incide a favor de esas dudas la existencia de un voto particular en las sentencias dictadas por la Sección Tercera de la Sala de lo Contencioso-Administrativo del Tribunal Supremo en las que se funda la sentencia impugnada en esta sede, amén del dictamen del Consejo de Estado relativo al proyecto de orden por el que se desarrolla la metodología para la fijación de los porcentajes de reparto de las cantidades a financiar respecto del bono social. En ese dictamen, dicho órgano consultivo manifestó que el régimen de financiación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Ello lleva a la fiscalía a interesar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23 de octubre del 2018 presentó sus alegaciones la entidad Productora Eléctrica Urgelense, S.A. En primer lugar identifica el objeto del presente recurso de amparo y la pretensión impugnatoria ejercida de adverso, amén de señalar que el Tribunal Supremo se ha basado en anteriores pronunciamientos, entre ellos la sentencia de 24 de octubre de 2016 dictada en el recurso contencioso-administrativo núm. 960-2014.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interesa que el recurso se inadmita por falta de especial transcendencia constitucional. Al respecto alega que la especial transcendencia aducida por la abogacía del Estado no es más que una mera reiteración de la lesión invocada y, además, que el Tribunal Constitucional ya se ha pronunciado en reiteradas ocasiones sobre la vulneración constitucional derivada del no planteamiento de una cuestión prejudicial por los tribunales ordinarios. Tras reflejar la alegación dada por la administración recurrente, sostiene a continuación que la justificación de la especial transcendencia constitucional requiere de una argumentación específica y autónoma respecto de la que se ofrece para justificar la lesión, lo que la demandante no ha cumplido. Por otro lado, considera que sobre la temática referida al planteamiento de cuestiones prejudiciales ante el Tribunal de Justicia de la Unión Europea existe una consolidada doctrina de este Tribunal, expuesta entre otras en las SSTC 78/2010, 145/2012 y 232/2015, cuyo contenido sintetiza. De todo ello colige que en el presente recurso no concurre ninguno de los supuestos de especial transcendencia constitucional enunciados en el fundamento jurídico segundo de la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las vulneraciones denunciadas, la referida entidad interesa la desestimación del recurso, pues considera que las resoluciones impugnadas no han vulnerado el derecho a la tutela judicial efectiva ni el derecho a un proceso con todas las garantías. En primer lugar sostiene que la sentencia dictada por el tribunal a quo está suficientemente motivada, pues en su fundamentación jurídica se reflejan los elementos que han llevado al Tribunal Supremo a concluir que resulta innecesario plantear cuestión prejudicial con base en la existencia de un “acto aclarado” A ello añade que la simple discrepancia de las partes no puede ser invocada como fundamento de una pretendida falta de motivación de la resolución citada. En ese sentido, entiende que la administración confunde el concepto de “acto claro” y el de “acto aclarado”, ya que este último concurre cuando el Tribunal de Justicia de la Unión Europea ya se ha pronunciado sobre una cuestión materialmente idéntica a otra que haya sido objeto de una decisión prejudicial en un caso análogo. Y esto es lo que sucede en el presente caso, pues las sentencias dictadas en los asuntos Federutility y Anode habían precisado los requisitos para considerar que una obligación de servicio público es discriminatoria. En este sentido, lleva a cabo un análisis de los aspectos que considera más relevantes de la sentencia dictada en el asunto Anode, para concluir que el supuesto que ha dado origen al presente recurso de amparo presenta una identidad sustancial con el enjuiciado por el Tribunal de Justicia de la Unión Europea, de suerte que la conculcación de los principios de proporcionalidad y no discriminación apreciados por el Tribunal Supremo, por parte de la normativa nacional inaplicada por dicho órgano judicial, no vulnera los derechos fundamentales invocados por la demandante. En suma, la decisión del Tribunal Supremo está suficientemente motivada y adecuadamente fundada en Derecho, por lo que, en el fondo, lo planteado por la administración no es más que es una simple discrepancia con lo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mayo del 2019, se señaló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sentencia dictada por la Sección Tercera de la Sala de lo Contencioso-Administrativo del Tribunal Supremo, en fecha 12 de diciembre de 2017, en el recurso de casación núm. 3362-2015; y contra el auto de 1 de febrero de 2018, de la misma Sala y Sección, que desestimó el incidente de nulidad de actuaciones promovido por la recurrente frente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son sustancialmente coincidentes con los que ya han sido abordados por el Pleno del Tribunal Constitucional en nuestra reciente STC 37/2019, de 26 de marzo (recurso de amparo núm. 593/2017), a cuyos fundamentos debemos remitirnos. En consecuencia, procede desestimar la alegación de que el recurso carece de especial transcendencia constitucional [STC 37/2019, FJ 3 b)] y debemos dar por reproducidos los fundamentos jurídicos 4 a 6. En ellos, tras exponer la doctrina constitucional sobre el planteamiento de la cuestión prejudicial y examinar el pronunciamiento de la Sala Tercera del Tribunal Supremo, consideramos vulnerado el derecho a un proceso con todas las garantías (art. 24.2 CE), debido a la ausencia de los presupuestos necesarios para apreciar que concurriera un “acto aclarado” que le eximiera de la obligación de plantear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procede estimar el recurso de amparo por vulneración del derecho a un proceso con todas las garantías (art. 24.2 CE) y declarar la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Sección Tercera de la Sala de lo Contencioso-Administrativo del Tribunal Supremo de 12 de diciembre de 2017, recaída en el recurso de casación núm. 3362-2015, y el auto de 1 de febrero del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la sentencia, para que el indicado órgano judicial dicte nueva resolución que sea respetuosa con el derecho fundamental vulnerado, en los términos expresados en el fundamento jurídico único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