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19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2750-2006, promovida por la Sala de lo Social del Tribunal Superior de Justicia de Canarias, en relación con la disposición adicional segunda de la Ley Orgánica 1/1990, de 3 de octubre, de ordenación general del sistema educativo (en la redacción dada por la Ley 50/1998, de 30 de diciembre, de medidas fiscales, administrativas y del orden social), y de los artículos III, VI y VII del Acuerdo sobre enseñanza y asuntos culturales, suscrito el 3 de enero de 1979 entre el Estado español y la Santa Sede, ratificado por Instrumento de 4 de diciembre de 1979. Han sido parte el Fiscal General del Estado y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marzo de 2006 se registró en este Tribunal escrito del Presidente de la Sala de lo Social del Tribunal Superior de Justicia de Canarias al que se adjuntaba testimonio del rollo de suplicación núm. 745-2005 y Auto de 28 de octubre de 2005,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Martín Suárez Quesada había venido prestando servicios ininterrumpidamente para la Consejería de Educación, Cultura y Deportes del Gobierno de Canarias, como profesor de religión y moral católica, desde el 14 de octubre de 1993, en diferentes centros educativos de la provincia y mediante sucesivos contratos de duración determinada. Con fecha 11 de junio de 2004 se registró ante el SEMAC, el Ministerio de Educación y Ciencia y la Consejería de Educación, Cultura y Deportes del Gobierno de la Comunidad Autónoma de Canarias escrito de la Confederación canaria de trabajadores-intersindical canaria comunicando la constitución de la Federación de profesores de religión y la integración en su órgano rector (Secretariado nacional) del trabajador. La Consejería no ha procedido a contratar al actor para el curso escolar 2004-2005, al haber sido incluido en un escrito remitido por el Obispado de Canarias a la Consejería en el que se acordaba no proponer al trabajador para su contratación. </w:t>
      </w:r>
    </w:p>
    <w:p w:rsidRPr="00C21FFE" w:rsidR="00F31FAF" w:rsidRDefault="00356547">
      <w:pPr>
        <w:rPr/>
      </w:pPr>
      <w:r w:rsidRPr="&lt;w:rPr xmlns:w=&quot;http://schemas.openxmlformats.org/wordprocessingml/2006/main&quot;&gt;&lt;w:lang w:val=&quot;es-ES_tradnl&quot; /&gt;&lt;/w:rPr&gt;">
        <w:rPr/>
        <w:t xml:space="preserve">b) Tras efectuar reclamación previa el día 15-9-2004, que fue desestimada expresamente por Resolución de 14 de octubre de 2004, el Sr. Suárez Quesada interpuso el 22 de septiembre de 2004 demanda por despido contra la Comunidad Autónoma de Canarias y el Obispado de Canarias, que fue repartida al Juzgado de lo Social núm. 5 de Las Palmas de Gran Canaria. </w:t>
      </w:r>
    </w:p>
    <w:p w:rsidRPr="00C21FFE" w:rsidR="00F31FAF" w:rsidRDefault="00356547">
      <w:pPr>
        <w:rPr/>
      </w:pPr>
      <w:r w:rsidRPr="&lt;w:rPr xmlns:w=&quot;http://schemas.openxmlformats.org/wordprocessingml/2006/main&quot;&gt;&lt;w:lang w:val=&quot;es-ES_tradnl&quot; /&gt;&lt;/w:rPr&gt;">
        <w:rPr/>
        <w:t xml:space="preserve">c) La demanda dio lugar a los autos núm. 906-2004, que concluyeron con Sentencia de 31 de enero de 2005 que estimó parcialmente la demanda declarando la nulidad del despido por vulneración del derecho de libertad sindical y condenando a la Comunidad Autónoma a la readmisión del trabajador, con abono de los salarios dejados de percibir. Además, la Sentencia condenaba a la Comunidad Autónoma a abonar al actor la suma de 3.005,07 € en concepto de indemnización por daños y perjuicios. </w:t>
      </w:r>
    </w:p>
    <w:p w:rsidRPr="00C21FFE" w:rsidR="00F31FAF" w:rsidRDefault="00356547">
      <w:pPr>
        <w:rPr/>
      </w:pPr>
      <w:r w:rsidRPr="&lt;w:rPr xmlns:w=&quot;http://schemas.openxmlformats.org/wordprocessingml/2006/main&quot;&gt;&lt;w:lang w:val=&quot;es-ES_tradnl&quot; /&gt;&lt;/w:rPr&gt;">
        <w:rPr/>
        <w:t xml:space="preserve">d) La Comunidad Autónoma interpuso recurso de suplicación ante la Sala de lo Social del Tribunal Superior de Justicia de Canarias (rollo núm. 745-2005), que ha elevado la presente cuestión de inconstitucionalidad. Previamente, y de conformidad con lo dispuesto en el art. 35.2 LOTC, dictó providencia, el 6 de septiembre de 2005, por la que requirió a las partes para que alegaran lo que estimasen conveniente en relación con la pertinencia de cuestionar la constitucionalidad de la disposición adicional segunda de la Ley Orgánica 1/1990 (LOGSE), en la redacción dada por la Ley 50/1998, y de los artículos III y IV del Acuerdo sobre enseñanza y asuntos culturales suscrito con la Santa Sede el 3 de enero de 1979. En dicho proveído se señalaban como supuestamente conculcados los arts. 9, 14, 16, 18, 20, 23, 24, 27 y 103.3 de la Constitución. </w:t>
      </w:r>
    </w:p>
    <w:p w:rsidRPr="00C21FFE" w:rsidR="00F31FAF" w:rsidRDefault="00356547">
      <w:pPr>
        <w:rPr/>
      </w:pPr>
      <w:r w:rsidRPr="&lt;w:rPr xmlns:w=&quot;http://schemas.openxmlformats.org/wordprocessingml/2006/main&quot;&gt;&lt;w:lang w:val=&quot;es-ES_tradnl&quot; /&gt;&lt;/w:rPr&gt;">
        <w:rPr/>
        <w:t xml:space="preserve">e) El Ministerio Fiscal consideró pertinente el planteamiento de la cuestión, por entender que podría existir vinculación entre la validez de las normas cuestionadas y el sentido del fallo judicial, todo ello sin perjuicio del posterior informe que en su caso emitirá la Fiscalía ante el Tribunal Constitucional. </w:t>
      </w:r>
    </w:p>
    <w:p w:rsidRPr="00C21FFE" w:rsidR="00F31FAF" w:rsidRDefault="00356547">
      <w:pPr>
        <w:rPr/>
      </w:pPr>
      <w:r w:rsidRPr="&lt;w:rPr xmlns:w=&quot;http://schemas.openxmlformats.org/wordprocessingml/2006/main&quot;&gt;&lt;w:lang w:val=&quot;es-ES_tradnl&quot; /&gt;&lt;/w:rPr&gt;">
        <w:rPr/>
        <w:t xml:space="preserve">f) El demandante consideró igualmente pertinente el planteamiento de la cuestión, por entender que toda norma que permita a los poderes públicos adoptar una medida inconstitucional con apariencia de legalidad resulta inconstitucional, lo que concurre en la regulación de la relación laboral de los profesores de religión, que discrimina a dichos trabajadores en relación con los demás, habiéndose vulnerado además en el caso analizado los derechos fundamentales de libertad de expresión y libertad sindical. </w:t>
      </w:r>
    </w:p>
    <w:p w:rsidRPr="00C21FFE" w:rsidR="00F31FAF" w:rsidRDefault="00356547">
      <w:pPr>
        <w:rPr/>
      </w:pPr>
      <w:r w:rsidRPr="&lt;w:rPr xmlns:w=&quot;http://schemas.openxmlformats.org/wordprocessingml/2006/main&quot;&gt;&lt;w:lang w:val=&quot;es-ES_tradnl&quot; /&gt;&lt;/w:rPr&gt;">
        <w:rPr/>
        <w:t xml:space="preserve">g) Tanto el Obispado de Canarias como el Gobierno de Canarias se opusieron al planteamiento de la cuestión. </w:t>
      </w:r>
    </w:p>
    <w:p w:rsidRPr="00C21FFE" w:rsidR="00F31FAF" w:rsidRDefault="00356547">
      <w:pPr>
        <w:rPr/>
      </w:pPr>
      <w:r w:rsidRPr="&lt;w:rPr xmlns:w=&quot;http://schemas.openxmlformats.org/wordprocessingml/2006/main&quot;&gt;&lt;w:lang w:val=&quot;es-ES_tradnl&quot; /&gt;&lt;/w:rPr&gt;">
        <w:rPr/>
        <w:t xml:space="preserve">El Obispado se remitió íntegramente a lo informado en sus alegaciones ante providencias idénticas dictadas por la misma Sala con anterioridad en otros asuntos semejantes. El Gobierno canario descartó cualquier infracción sustantiva de derechos fundamentales, resumiéndose su planteamiento en la idea de que, “[d]e la misma manera que dentro de la función pública o del Derecho del Trabajo existen cargos de confianza o de libre designación, en los que existe un amplio margen de discrecionalidad en el nombramiento y cese por la naturaleza de las funciones a desempeñar, la enseñanza de la religión exige también un cierto grado de identificación o de confianza entre el profesor y la autoridad eclesiástica, en cuanto aquél debe ser una prolongación de ésta”. El Gobierno canario no alberga dudas sobre la competencia exclusiva de la Iglesia Católica en punto a “la determinación de la idoneidad de las personas que han de ejercer” la enseñanza de la religión católica, sin que a este respecto pueda exigírsele que se ajuste a otras normas que no sean las propias de la Iglesia.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28 de octubre de 2005, la Sala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F31FAF" w:rsidRDefault="00356547">
      <w:pPr>
        <w:rPr/>
      </w:pPr>
      <w:r w:rsidRPr="&lt;w:rPr xmlns:w=&quot;http://schemas.openxmlformats.org/wordprocessingml/2006/main&quot;&gt;&lt;w:lang w:val=&quot;es-ES_tradnl&quot; /&gt;&lt;/w:rPr&gt;">
        <w:rPr/>
        <w:t xml:space="preserve">El Auto de la Sala reproduce el contenido de un anterior Auto dictado en el recurso de suplicación 419-2002, en el que la Sala había ya planteado en otro supuesto similar cuestión de inconstitucionalidad ya admitida a trámite, añadiendo la argumentación relativa a la posible vulneración por las disposiciones cuestionadas de los arts. 20.1 y 28.2 CE, a los que no se aludía en el Auto de planteamiento de aquella cuestión anterior. </w:t>
      </w:r>
    </w:p>
    <w:p w:rsidRPr="00C21FFE" w:rsidR="00F31FAF" w:rsidRDefault="00356547">
      <w:pPr>
        <w:rPr/>
      </w:pPr>
      <w:r w:rsidRPr="&lt;w:rPr xmlns:w=&quot;http://schemas.openxmlformats.org/wordprocessingml/2006/main&quot;&gt;&lt;w:lang w:val=&quot;es-ES_tradnl&quot; /&gt;&lt;/w:rPr&gt;">
        <w:rPr/>
        <w:t xml:space="preserve">Tras exponer con detalle los avatares de la evolución del régimen normativo de la enseñanza de la religión católica en los centros públicos (FJ 1) y la disciplina canónica observada por la Iglesia en materia docente (FJ 2), el órgano judicial advierte de que “no es objeto de esta cuestión la constitucionalidad de la inserción de la religión y moral católica en el itinerario educativo de la enseñanza reglada ….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F31FAF" w:rsidRDefault="00356547">
      <w:pPr>
        <w:rPr/>
      </w:pPr>
      <w:r w:rsidRPr="&lt;w:rPr xmlns:w=&quot;http://schemas.openxmlformats.org/wordprocessingml/2006/main&quot;&gt;&lt;w:lang w:val=&quot;es-ES_tradnl&quot; /&gt;&lt;/w:rPr&gt;">
        <w:rPr/>
        <w:t xml:space="preserve">A juicio de la Sala, la declaración eclesiástica de idoneidad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artículo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F31FAF" w:rsidRDefault="0035654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y resultante de la disposición adicional segunda de la Ley Orgánica 1/1990 (LOGSE), en la redacción dada por la Ley 50/1998, en conjunción con los artículos III, VI y VII del Acuerdo con la Santa Sede. Para la Sala,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marzo de 2006 la Sección Primera acordó admitir a trámite la cuestión de inconstitucionalidad y dar traslado de las actuaciones recibidas, conforme establece el art. 37.2 LOTC, al Congreso de los Diputados y al Senado, por conducto de sus respectivos Presidentes, al Gobierno, por conducto del Ministro de Justicia, y al Fiscal General del Estado, al objeto de que, en el plazo de quince días, pudieran personarse en el proceso y formular alegaciones. Asimismo se acordó publicar la incoación del procedimiento en el “Boletín Oficial del Estado”, lo que se hizo en el núm. 84, de 8 de abril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el Tribunal el 11 de abril de 2006. El representante del Gobierno, remitiéndose a lo señalado en las alegaciones presentadas en las precedentes cuestiones planteadas por la Sala de Canarias con el mismo objeto, sostiene, en primer lugar, que no pueden considerarse relevantes para el fallo del pleito laboral todos los preceptos cuestionados y que, en realidad, el verdadero objeto de la cuestión es el primer párrafo del artículo III del Acuerdo con la Santa Sede, si bien no tanto en sí mismo cuanto relacionado con ciertas normas canónicas, especialmente los cánones 804.2 y 805 del vigente Código de Derecho Canónico (1983). En cambio, la Sala no justifica debidamente, en opinión del Abogado del Estado, la relevancia del párrafo primero de la disposición adicional segunda de la Ley Orgánica 1/1990, ni, por lo que hace a los Acuerdos de 1979, la de los párrafos segundo, tercero y cuarto del artículo III y la de los artículos VI y VII. A ello ha de añadirse ahora que el segundo párrafo de la disposición adicional segunda de la Ley Orgánica 1/1990 debe quedar excluido del objeto de este proceso, dado que este precepto legal ha sido derogado expresamente por la Ley Orgánica 10/2002, de 23 de diciembre, de calidad de la educación, en fecha muy anterior a la decisión calificada como despido nulo tomada el 1 de septiembre de 2004.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constitucionalidad del párrafo primero del artículo III del Acuerdo con la Santa Sede, destacando, en primer lugar, que dicho precepto no dispone nada acerca de si la propuesta del Ordinario diocesano a la que debe atenerse la autoridad educativa es o no controlable por los Tribunales españoles. El primer párrafo del artículo III del Acuerdo con la Santa Sede no pasa de atribuir un poder de propuesta al Ordinario diocesano. Ahora bien, éste sólo propone a quienes cuentan con una previa “declaración eclesiástica de idoneidad”, habilitación docente creada por la Conferencia Episcopal Española ?no por el artículo III del Acuerdo? y recogida hoy en la cláusula 4ª del convenio aprobado por Orden de 9 de abril de 1999. Con la declaración eclesiástica de idoneidad se acredita el cumplimiento de los “requisitos de formación teológica y pedagogía religiosa” necesarios para ejercer como profesor en determinados niveles, y puede ser revocada o retirada, caso en que el profesor se entiende eclesiásticamente inhabilitado para la docencia y no es incluido en la propuesta anual de designaciones. </w:t>
      </w:r>
    </w:p>
    <w:p w:rsidRPr="00C21FFE" w:rsidR="00F31FAF" w:rsidRDefault="00356547">
      <w:pPr>
        <w:rPr/>
      </w:pPr>
      <w:r w:rsidRPr="&lt;w:rPr xmlns:w=&quot;http://schemas.openxmlformats.org/wordprocessingml/2006/main&quot;&gt;&lt;w:lang w:val=&quot;es-ES_tradnl&quot; /&gt;&lt;/w:rPr&gt;">
        <w:rPr/>
        <w:t xml:space="preserve">El Abogado del Estado dice compartir la interpretación de la Sala conforme a la cual el primer párrafo del artículo III del Acuerdo debe entenderse en indisociable relación con diversos cánones, y, sobre todo, con el parágrafo 2 del canon 804 y con el canon 805 del Código de Derecho Canónico, normas cuyo directo destinatario es el Ordinario diocesano, al que el artículo III del Acuerdo atribuye el poder de propuesta. Más aún: ese poder de propuesta reservado a la autoridad eclesiástica sólo se explica como vehículo para la aplicación de los cánones 804.2 y 805. El artículo III carecería, pues, de sentido sin su trasfondo canónico. </w:t>
      </w:r>
    </w:p>
    <w:p w:rsidRPr="00C21FFE" w:rsidR="00F31FAF" w:rsidRDefault="00356547">
      <w:pPr>
        <w:rPr/>
      </w:pPr>
      <w:r w:rsidRPr="&lt;w:rPr xmlns:w=&quot;http://schemas.openxmlformats.org/wordprocessingml/2006/main&quot;&gt;&lt;w:lang w:val=&quot;es-ES_tradnl&quot; /&gt;&lt;/w:rPr&gt;">
        <w:rPr/>
        <w:t xml:space="preserve">Así centrada la cuestión, no puede entenderse que el párrafo examinado del artículo III sea contrarios al art. 24.1 CE porque impida a los Tribunales españoles fiscalizar la decisión del Ordinario. Ciertamente, como sostiene la Sala, la apreciación del Ordinario acerca de si un profesor imparte o no recta doctrina y si da o no testimonio de vida cristiana es inmune, en su núcleo, al control de los Tribunales. Pero, lejos de ser inconstitucional, esa inmunidad es mera consecuencia del derecho fundamental de libertad religiosa y del principio de neutralidad religiosa del Estado. </w:t>
      </w:r>
    </w:p>
    <w:p w:rsidRPr="00C21FFE" w:rsidR="00F31FAF" w:rsidRDefault="00356547">
      <w:pPr>
        <w:rPr/>
      </w:pPr>
      <w:r w:rsidRPr="&lt;w:rPr xmlns:w=&quot;http://schemas.openxmlformats.org/wordprocessingml/2006/main&quot;&gt;&lt;w:lang w:val=&quot;es-ES_tradnl&quot; /&gt;&lt;/w:rPr&gt;">
        <w:rPr/>
        <w:t xml:space="preserve">Es patente, para el Abogado del Estado, que la libertad religiosa tiene, junto al individual, un aspecto comunitario o colectivo. En esta segunda dimensión, sus titulares son las Iglesias, confesiones y comunidades religiosas (art. 2.2 LORL, SSTC 64/1988, 46/2001 y 128/2001). En la dimensión individual, el art. 2.1 c) LOLR reconoce el derecho a recibir enseñanza religiosa y a elegir ?para sí y para los menores o dependientes, “dentro y fuera del ámbito escolar”? la educación religiosa y moral que esté de acuerdo con las propias convicciones. En la faceta comunitaria, las Iglesias, confesiones y comunidades gozan del derecho fundamental a “designar y formar a sus ministros” y a “divulgar y propagar su propio credo” (art. 2.2 LOLR). La formación religiosa en los centros docentes públicos es, según el art. 2.3 LOLR, una medida “para la aplicación real y efectiva de estos derechos”, tanto los individuales como los colectivos. Por último, el art. 6.1 LOLR reconoce plena autonomía a las Iglesias, confesiones y comunidades, cuyas normas internas, como el Código de Derecho Canónico, “podrán incluir cláusulas de salvaguardia de su identidad religiosa y carácter propio, así como del debido respeto a sus creencias”, pero “sin perjuicio del respeto a los derechos y libertades reconocidos por la Constitución, y en especial los de libertad, igualdad y no discriminación”. </w:t>
      </w:r>
    </w:p>
    <w:p w:rsidRPr="00C21FFE" w:rsidR="00F31FAF" w:rsidRDefault="00356547">
      <w:pPr>
        <w:rPr/>
      </w:pPr>
      <w:r w:rsidRPr="&lt;w:rPr xmlns:w=&quot;http://schemas.openxmlformats.org/wordprocessingml/2006/main&quot;&gt;&lt;w:lang w:val=&quot;es-ES_tradnl&quot; /&gt;&lt;/w:rPr&gt;">
        <w:rPr/>
        <w:t xml:space="preserve">El art. 16.3 de la Constitución acoge el principio de neutralidad religiosa o aconfesionalidad del Estado, si bien se trata de una neutralidad complementada con dos mandatos a los poderes públicos: tener en cuenta “las creencias religiosas de la sociedad española” y mantener” relaciones de cooperación con la Iglesia Católica y las demás confesiones”. En este punto, el Abogado del Estado quiere llamar la atención sobre una exigencia directamente derivada de la neutralidad religiosa del Estado, como es el imperativo constitucional de que los órganos estatales (incluidos los Tribunales) no se inmiscuyan o entrometan en asuntos religiosos o puramente eclesiásticos, pues sería incompatible con la libertad religiosa, en sus dos dimensiones, que el Poder Judicial pudiera revisar, controlar o modificar la apreciación de un obispo católico o evangélico, de un rabino o de un imán acerca de lo que es o no la recta doctrina de sus respectivos credos o sobre lo que es o no testimonio de vida conforme a los mismos. De ello se sigue que la determinación por el Ordinario de si la enseñanza de un profesor de religión católica se ajusta o no a la recta doctrina es inmune a toda fiscalización jurisdiccional. Y lo mismo debe decirse respecto a si el profesor da o no el testimonio de vida cristiana que le es exigible con arreglo al canon 804.2 CIC; algo de lo que debe ser consciente quien aspira a enseñar religión y moral católicas. </w:t>
      </w:r>
    </w:p>
    <w:p w:rsidRPr="00C21FFE" w:rsidR="00F31FAF" w:rsidRDefault="00356547">
      <w:pPr>
        <w:rPr/>
      </w:pPr>
      <w:r w:rsidRPr="&lt;w:rPr xmlns:w=&quot;http://schemas.openxmlformats.org/wordprocessingml/2006/main&quot;&gt;&lt;w:lang w:val=&quot;es-ES_tradnl&quot; /&gt;&lt;/w:rPr&gt;">
        <w:rPr/>
        <w:t xml:space="preserve">Ahora bien, continúa el escrito de alegaciones, los profesores de religión católica son, de acuerdo con el párrafo segundo de la disposición adicional segunda de la Ley Orgánica 1/1990, trabajadores de la Administración educativa. En tal condición tienen todo el derecho a ampararse en la Constitución y en las leyes laborales españolas (art. 35 CE) y a que los Tribunales laborales nacionales les dispensen tutela. Por tanto, es menester encontrar criterios practicables que permitan concordar prácticamente las exigencias de la libertad religiosa (individual y colectiva) y el principio de neutralidad religiosa del Estado con la protección jurisdiccional de los derechos constitucionales y laborales de los profesores, atendida la modulación que los derechos fundamentales sufren en la relación de trabajo (SSTC 98/2000 y 20/2002). En el presente procedimiento, basta con razonar, a juicio del Abogado del Estado, que la decisión del Ordinario no es completamente inmune al control de los Tribunales españoles, decayendo así la tesis de que la normativa examinada infringe el art. 24.1 CE. </w:t>
      </w:r>
    </w:p>
    <w:p w:rsidRPr="00C21FFE" w:rsidR="00F31FAF" w:rsidRDefault="00356547">
      <w:pPr>
        <w:rPr/>
      </w:pPr>
      <w:r w:rsidRPr="&lt;w:rPr xmlns:w=&quot;http://schemas.openxmlformats.org/wordprocessingml/2006/main&quot;&gt;&lt;w:lang w:val=&quot;es-ES_tradnl&quot; /&gt;&lt;/w:rPr&gt;">
        <w:rPr/>
        <w:t xml:space="preserve">A este respecto alega el Abogado del Estado que una decisión eclesiástica contraria a la renovación de un contrato laboral sólo queda amparada por la libertad religiosa colectiva si está claramente justificada en motivos de carácter religioso, incluidos los principios morales aceptados por la religión de que se trate. Si en el proceso laboral queda probado que la decisión episcopal no se basa en motivos religiosos lato sensu, por ejemplo la represalia contra un profesor de religión por ejercitar el derecho fundamental de huelga, es claro que el órgano judicial deberá declarar que se ha constatado un mal uso o un uso desviado del poder de propuesta, que no puede encontrar amparo en el derecho fundamental de libertad religiosa ni en el artículo III del Acuerdo. Negando deferencia a los casos de mal uso del poder de propuesta, el Tribunal español no sólo protege los derechos de los trabajadores, sino que, indirectamente, impide abusos en perjuicio de la propia Iglesia, siendo de notar que el canon 804.2 CIC nunca puede amparar decisiones episcopales discriminatorias o contrarias a los derechos fundamentales, pues la doctrina de la Iglesia Católica condena, como “contraria al plan de Dios”, “toda forma de discriminación en los derechos fundamentales de la persona” y considera “lamentable” que “los derechos fundamentales no estén todavía bien protegidos en todas partes” (Constitución pastoral Gaudium et Spes del Concilio Vaticano II, núm. 29, párrafo segundo; en los mismos términos, Catecismo de la Iglesia Católica, núm. 1935). Las violaciones de los derechos fundamentales constituyen, por tanto, un mal uso de la potestad de propuesta y serán, por tanto, controlables por los Tribunales españoles. El orden público constitucional, a cuya defensa responde la cláusula “sin perjuicio” del art. 6.1 LOLR, representa un límite al poder de propuesta del Ordinario, incluso sin salir de la perspectiva intraeclesial católica. </w:t>
      </w:r>
    </w:p>
    <w:p w:rsidRPr="00C21FFE" w:rsidR="00F31FAF" w:rsidRDefault="00356547">
      <w:pPr>
        <w:rPr/>
      </w:pPr>
      <w:r w:rsidRPr="&lt;w:rPr xmlns:w=&quot;http://schemas.openxmlformats.org/wordprocessingml/2006/main&quot;&gt;&lt;w:lang w:val=&quot;es-ES_tradnl&quot; /&gt;&lt;/w:rPr&gt;">
        <w:rPr/>
        <w:t xml:space="preserve">Lo que importa es que allí donde los Tribunales deben respetar la decisión de una autoridad religiosa, la deferencia se basa no sólo y no tanto en una norma internacional cuanto en fundamentos constitucionales (libertad religiosa y principio de neutralidad) a los que los Tribunales españoles están vinculados (arts. 9.1, 10.1 y 53.1 CE y 5.1 y 7.1 LOPJ). La norma examinada no impide, por tanto, el control jurisdiccional del Estado, aunque exige buscar un punto de equilibrio y concordancia práctica entre la libertad religiosa, el principio de neutralidad y la tutela judicial efectiva.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desarrolla, seguidamente, las razones por las que tampoco puede compartirse la tesis defendida por la Sala en el sentido de que el régimen vigente constituye a la Administración en una empresa de tendencia. Con carácter previo, el representante del Gobierno recuerda que con arreglo a la doctrina constitucional que arranca en la STC 5/1981, de 13 de febrero, la neutralidad religiosa de los puestos docentes en los centros públicos tiene la excepción de las enseñanzas religiosas de “seguimiento libre”. En la enseñanza religiosa coinciden y se potencian recíprocamente varios derechos fundamentales (a recibir enseñanza religiosa, a educar a los hijos en determinadas creencias, a propagar el propio credo), si bien la Sala manifiesta una visión excesivamente individualista, olvidando que son las confesiones quienes, sobre todo, vienen consideradas por el art. 16.3 CE como idóneas receptoras de la cooperación de los poderes públicos. Y es que, desde el punto de vista estatal y constitucional, el hecho religioso es un importante fenómeno social y no puede ser más que esto; un fenómeno, por encima de todo, de grupos sociales organizados. Es lógico, por tanto, que el derecho de los padres a que sus hijos reciban formación religiosa haya de ejercitarse mediante la adscripción ?o no adscripción? a alguna de las creencias religiosas más extendidas. </w:t>
      </w:r>
    </w:p>
    <w:p w:rsidRPr="00C21FFE" w:rsidR="00F31FAF" w:rsidRDefault="00356547">
      <w:pPr>
        <w:rPr/>
      </w:pPr>
      <w:r w:rsidRPr="&lt;w:rPr xmlns:w=&quot;http://schemas.openxmlformats.org/wordprocessingml/2006/main&quot;&gt;&lt;w:lang w:val=&quot;es-ES_tradnl&quot; /&gt;&lt;/w:rPr&gt;">
        <w:rPr/>
        <w:t xml:space="preserve">La tesis de la Sala en el sentido de que el hoy derogado párrafo segundo de la disposición adicional segunda de la Ley Orgánica 1/1990 convierte a la Administración en una empresa de tendencia carece, para el Abogado del Estado, de fundamentos sólidos. La conversión de los profesores de religión en trabajadores de la Administración educativa no pretende contravenir el principio de neutralidad, como si el legislador hubiera querido proteger a las tres grandes religiones monoteístas y especialmente a la que cuenta con más profesores. Se trataba de dar protección laboral y social a los profesores en el contexto de una relación de trabajo objetivamente especial. Es verdad que podrían concebirse otros tipos de regímenes para los profesores de religión que tal vez conciliarían mejor su protección laboral y social con la neutralidad religiosa del Estado; pero aquí entran también en juego cuestiones de practicabilidad y de necesidad apremiante en la resolución de un problema laboral enconado. En todo caso, la norma examinada es un precepto neutral, por lo menos respecto a las organizaciones religiosas con las que el Estado ha concluido Acuerdos de cooperación. </w:t>
      </w:r>
    </w:p>
    <w:p w:rsidRPr="00C21FFE" w:rsidR="00F31FAF" w:rsidRDefault="00356547">
      <w:pPr>
        <w:rPr/>
      </w:pPr>
      <w:r w:rsidRPr="&lt;w:rPr xmlns:w=&quot;http://schemas.openxmlformats.org/wordprocessingml/2006/main&quot;&gt;&lt;w:lang w:val=&quot;es-ES_tradnl&quot; /&gt;&lt;/w:rPr&gt;">
        <w:rPr/>
        <w:t xml:space="preserve">No se convierte, por tanto, a la Administración en una empresa de tendencia. Lo que ocurre es que los puestos de profesores de religión requieren una determinada cualificación profesional, como la requieren otros tipos de puestos administrativos. En el caso de la religión católica, la declaración eclesiástica de idoneidad es simplemente un reconocimiento eclesiástico de esa cualificación. La exigencia de un título, requisito o cualificación puede considerarse como una limitación a la general capacidad para trabajar o como exigencia de una capacidad especial para acceder a determinados trabajos o puestos. Si sobrevenidamente se pierde la cualificación requerida, puede darse el supuesto de una ineptitud sobrevenida, que es causa objetiva de extinción de la relación laboral [art. 52 a) del Estatuto de los Trabajadores]. Exigir que los profesores de religión católica cuenten con una declaración eclesiástica de idoneidad y que ésta pueda ser retirada por razones religiosas o morales (canon 805 CIC) responde a la naturaleza del puesto mismo de trabajo. Los alumnos católicos [arts. 16.1 CE, 2.1 c) LORL y 6.1 c) de la Ley Orgánica 5/1985], los padres católicos [arts. 16.1 y 27.3 CE, 2.1 c) LORL y 4 c) de la Ley Orgánica 5/1985] y la propia Iglesia Católica (arts. 16.1 CE y 2.2 LOLR) tienen derecho a exigir que la enseñanza de la doctrina católica o la transmisión de los valores católicos se efectúen correctamente y sin perturbaciones. Respetar las exigencias propias de estos singulares puestos de trabajo no convierte a la Administración en una empresa de tendencia, sino que es una simple consecuencia de la libertad religiosa proyectada sobre la enseñanza (arts. 16.1 y 27.3 CE) y del mandato de cooperación contenido en el art. 16.3 CE. </w:t>
      </w:r>
    </w:p>
    <w:p w:rsidRPr="00C21FFE" w:rsidR="00F31FAF" w:rsidRDefault="00356547">
      <w:pPr>
        <w:rPr/>
      </w:pPr>
      <w:r w:rsidRPr="&lt;w:rPr xmlns:w=&quot;http://schemas.openxmlformats.org/wordprocessingml/2006/main&quot;&gt;&lt;w:lang w:val=&quot;es-ES_tradnl&quot; /&gt;&lt;/w:rPr&gt;">
        <w:rPr/>
        <w:t xml:space="preserve">El escrito de alegaciones concluye reiterando que el poder de propuesta reconocido en el artículo III del Acuerdo no puede hacerse discriminatoriamente, pues la propia normativa de la Iglesia es contraria a la discriminación. Ahora bien, no cabe confundir discriminación y cualificación necesaria para el desempeño de un puesto. Y no se puede sostener que sea lo primero requerir la declaración eclesiástica de idoneidad para ser profesor de religión católica o exigir que se ajuste a la recta doctrina y la moral católicas quien debe enseñar la primera y transmitir la segunda, pues el ejemplo de coherencia personal es de innegable importancia para que la enseñanza de cualquier religión merezca ese nombre. Ahora bien, aceptada esta exigencia de cualificación (que debe entenderse asumida por quien libre y voluntariamente pretende obtener la declaración eclesiástica de idoneidad y convertirse en profesor de religión católica), la autoridad eclesiástica proponente tiene prohibida toda discriminación contraria al art. 14 CE. </w:t>
      </w:r>
    </w:p>
    <w:p w:rsidRPr="00C21FFE" w:rsidR="00F31FAF" w:rsidRDefault="00356547">
      <w:pPr>
        <w:rPr/>
      </w:pPr>
      <w:r w:rsidRPr="&lt;w:rPr xmlns:w=&quot;http://schemas.openxmlformats.org/wordprocessingml/2006/main&quot;&gt;&lt;w:lang w:val=&quot;es-ES_tradnl&quot; /&gt;&lt;/w:rPr&gt;">
        <w:rPr/>
        <w:t xml:space="preserve">Expuesto lo anterior, es fácil de ver, para el representante del Gobierno, que las normas cuestionadas tampoco violan el principio de mérito y capacidad (art. 103.3 CE), pues la exigencia de la declaración eclesiástica de idoneidad responde, precisamente, a exigencias de la capacidad inherente al especialísimo puesto de trabajo “profesor de religión católica”, que sólo puede ser apreciada por la autoridad eclesiástica, pues de otra manera no se respetaría ni la libertad religiosa ni el principio de neutralidad. </w:t>
      </w:r>
    </w:p>
    <w:p w:rsidRPr="00C21FFE" w:rsidR="00F31FAF" w:rsidRDefault="00356547">
      <w:pPr>
        <w:rPr/>
      </w:pPr>
      <w:r w:rsidRPr="&lt;w:rPr xmlns:w=&quot;http://schemas.openxmlformats.org/wordprocessingml/2006/main&quot;&gt;&lt;w:lang w:val=&quot;es-ES_tradnl&quot; /&gt;&lt;/w:rPr&gt;">
        <w:rPr/>
        <w:t xml:space="preserve">Finalmente, carece de todo fundamento sólido, a juicio del Abogado del Estado, atribuir a las disposiciones cuestionadas infracción alguna de los arts. 20.1 a) o 28.2 CE, infracciones que, de existir en el proceso a quo, habrán de ser atribuidas a la decisión empresarial de despido o de no renovación del contrato, pero en modo alguno a los preceptos cuestionados por la Sala, que nada contienen que los haga incompatibles con los referidos derechos. </w:t>
      </w:r>
    </w:p>
    <w:p w:rsidRPr="00C21FFE" w:rsidR="00F31FAF" w:rsidRDefault="00356547">
      <w:pPr>
        <w:rPr/>
      </w:pPr>
      <w:r w:rsidRPr="&lt;w:rPr xmlns:w=&quot;http://schemas.openxmlformats.org/wordprocessingml/2006/main&quot;&gt;&lt;w:lang w:val=&quot;es-ES_tradnl&quot; /&gt;&lt;/w:rPr&gt;">
        <w:rPr/>
        <w:t xml:space="preserve">En consecuencia, el Abogado del Estado suplica del Tribunal que dicte Sentencia por la que declare mal planteada e inadmisible la cuestión respecto a la disposición adicional segunda de la Ley Orgánica 1/1990, de 3 de octubre, y a los párrafos segundo, tercero y cuarto del artículo III y a los artículos VI y VII del Acuerdo sobre enseñanza y asuntos culturales entre el Estado español y la Santa Sede, de 3 de enero de 1979, ratificado por Instrumento de 4 de diciembre de 1979, y la desestime en relación con el párrafo primero del art. III del Acuerdo. Subsidiariamente, interesa el representante del Gobierno que se desestime la cuestión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19 de abril de 2006, el Presidente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24 de abril de 2006, el Presidente del Congreso de los Diputados puso en conocimiento del Tribunal que la Cámara no se personaría en el procedimiento ni formularía alegaciones, remitiendo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9 de mayo de 2006, remitiéndose íntegramente a las alegaciones formuladas en las cuestiones de inconstitucionalidad núms. 4126-2003 y 2764-2004 e interesando del Tribunal que dicte Sentencia desestimatoria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abril de 2007 se acordó señalar el siguiente día 19 para la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Canarias cuestiona en este procedimiento la constitucionalidad de varias normas.  De un lado, tres preceptos incluidos en el Acuerdo entre el Estado Español y la Santa Sede sobre Enseñanza y Asuntos Culturales, de 3 de enero de 1979, ratificado por Instrumento de 4 de diciembre de 1979 (BOE núm. 300, de 15 de diciembre), y cuyo tenor es el que sigue:</w:t>
      </w:r>
    </w:p>
    <w:p w:rsidRPr="00C21FFE" w:rsidR="00F31FAF" w:rsidRDefault="00356547">
      <w:pPr>
        <w:rPr/>
      </w:pPr>
      <w:r w:rsidRPr="&lt;w:rPr xmlns:w=&quot;http://schemas.openxmlformats.org/wordprocessingml/2006/main&quot;&gt;&lt;w:lang w:val=&quot;es-ES_tradnl&quot; /&gt;&lt;/w:rPr&gt;">
        <w:rPr/>
        <w:t xml:space="preserve">Artículo III</w:t>
      </w:r>
    </w:p>
    <w:p w:rsidRPr="00C21FFE" w:rsidR="00F31FAF" w:rsidRDefault="0035654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F31FAF" w:rsidRDefault="0035654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F31FAF" w:rsidRDefault="00356547">
      <w:pPr>
        <w:rPr/>
      </w:pPr>
      <w:r w:rsidRPr="&lt;w:rPr xmlns:w=&quot;http://schemas.openxmlformats.org/wordprocessingml/2006/main&quot;&gt;&lt;w:lang w:val=&quot;es-ES_tradnl&quot; /&gt;&lt;/w:rPr&gt;">
        <w:rPr/>
        <w:t xml:space="preserve">Nadie estará obligado a impartir enseñanza religiosa.</w:t>
      </w:r>
    </w:p>
    <w:p w:rsidRPr="00C21FFE" w:rsidR="00F31FAF" w:rsidRDefault="0035654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F31FAF" w:rsidRDefault="00356547">
      <w:pPr>
        <w:rPr/>
      </w:pPr>
      <w:r w:rsidRPr="&lt;w:rPr xmlns:w=&quot;http://schemas.openxmlformats.org/wordprocessingml/2006/main&quot;&gt;&lt;w:lang w:val=&quot;es-ES_tradnl&quot; /&gt;&lt;/w:rPr&gt;">
        <w:rPr/>
        <w:t xml:space="preserve">Artículo VI</w:t>
      </w:r>
    </w:p>
    <w:p w:rsidRPr="00C21FFE" w:rsidR="00F31FAF" w:rsidRDefault="0035654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F31FAF" w:rsidRDefault="0035654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F31FAF" w:rsidRDefault="00356547">
      <w:pPr>
        <w:rPr/>
      </w:pPr>
      <w:r w:rsidRPr="&lt;w:rPr xmlns:w=&quot;http://schemas.openxmlformats.org/wordprocessingml/2006/main&quot;&gt;&lt;w:lang w:val=&quot;es-ES_tradnl&quot; /&gt;&lt;/w:rPr&gt;">
        <w:rPr/>
        <w:t xml:space="preserve">Artículo VII</w:t>
      </w:r>
    </w:p>
    <w:p w:rsidRPr="00C21FFE" w:rsidR="00F31FAF" w:rsidRDefault="0035654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F31FAF" w:rsidRDefault="0035654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F31FAF" w:rsidRDefault="0035654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F31FAF" w:rsidRDefault="0035654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resuelto en su STC 38/2007, de 15 de febrero, la cuestión de inconstitucional núm. 4831-2002, planteada por la misma Sala de lo Social del Tribunal Superior de Justicia de Canarias en relación con los mismos preceptos legales y en términos prácticamente idénticos a los de la presente cuestión. En el fallo de dicha Sentencia el Tribunal declaró inadmisible la cuestión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 y desestimó la cuestión en todo lo demás (párrafos primero y segundo del art. III del Acuerdo y párrafo segundo de la declaración eclesiástica de idoneidad 2ª de la Ley Orgánica 1/1990), por considerar que los preceptos legales cuestionados no vulneraban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En relación con lo analizado en la STC 38/2007, la presente cuestión suscita dos problemas adicionales relevantes: de una parte, el derivado de la derogación de uno de los preceptos legales cuestionados, la disposición adicional segunda de la Ley Orgánica 1/1990, llevada a cabo por la Ley Orgánica 10/2002, de 23 de diciembre, de calidad de la educación (disposición derogatoria única); de otra, la necesidad de considerar la eventual vulneración por los preceptos legales cuestionados de los derechos a la libertad de expresión (art. 20.1 CE) y a la huelga (art. 28.1 CE), invocados por el órgano judicial en el Auto de planteamiento de ésta y no en el de aquélla.</w:t>
      </w:r>
    </w:p>
    <w:p w:rsidRPr="00C21FFE" w:rsidR="00F31FAF" w:rsidRDefault="00356547">
      <w:pPr>
        <w:rPr/>
      </w:pPr>
      <w:r w:rsidRPr="&lt;w:rPr xmlns:w=&quot;http://schemas.openxmlformats.org/wordprocessingml/2006/main&quot;&gt;&lt;w:lang w:val=&quot;es-ES_tradnl&quot; /&gt;&lt;/w:rPr&gt;">
        <w:rPr/>
        <w:t xml:space="preserve">Por lo que se refiere al primero de los problemas señalados es claro que, como señala el Abogado del Estado, la expresa derogación de la diposición adicional segunda de la Ley 1/1990, llevada a cabo por la Ley Orgánica 10/2002, de 23 de diciembre, de calidad de la educación (disposición derogatoria única), determina que la norma no se encontraba ya en vigor en la fecha en que se produjo la decisión calificada como despido y, por lo tanto, no era una norma aplicable en el proceso a quo ni de cuya validez dependiera la decisión a adoptar en el recurso de suplicación interpuesto contra la Sentencia que declaró la nulidad del despido (entre las últimas, SSTC 255/2004, de 23 de diciembre, FJ 2; 10/2005, de 20 de enero, FJ 2; 102/2005, de 18 de abril, FJ 2; 121/2005, de 10 de mayo, FJ 3; y 179/2006, de 13 de junio, FJ 2).</w:t>
      </w:r>
    </w:p>
    <w:p w:rsidRPr="00C21FFE" w:rsidR="00F31FAF" w:rsidRDefault="00356547">
      <w:pPr>
        <w:rPr/>
      </w:pPr>
      <w:r w:rsidRPr="&lt;w:rPr xmlns:w=&quot;http://schemas.openxmlformats.org/wordprocessingml/2006/main&quot;&gt;&lt;w:lang w:val=&quot;es-ES_tradnl&quot; /&gt;&lt;/w:rPr&gt;">
        <w:rPr/>
        <w:t xml:space="preserve">En cuanto al segundo de los problemas, debemos partir de la consideración de que el Auto de planteamiento de la cuestión no argumenta la existencia de una incompatibilidad entre el contenido de las disposiciones legales cuestionadas y los señalados derechos fundamentales a la libertad de expresión (art. 20.1 CE) y a la huelga (art. 28.2 CE), que fueron los que se consideraron vulnerados en el proceso a quo por la “no propuesta” del Obispado, sino que parece vincular tal vulneración a la pretendida inmunidad frente al Estado de la decisión eclesiástica, que impediría la tutela judicial de los derechos fundamentales supuestamente vulnerados por la misma.</w:t>
      </w:r>
    </w:p>
    <w:p w:rsidRPr="00C21FFE" w:rsidR="00F31FAF" w:rsidRDefault="00356547">
      <w:pPr>
        <w:rPr/>
      </w:pPr>
      <w:r w:rsidRPr="&lt;w:rPr xmlns:w=&quot;http://schemas.openxmlformats.org/wordprocessingml/2006/main&quot;&gt;&lt;w:lang w:val=&quot;es-ES_tradnl&quot; /&gt;&lt;/w:rPr&gt;">
        <w:rPr/>
        <w:t xml:space="preserve">Pues bien, hemos declarado en nuestra Sentencia 38/2007, de 15 de febrero, FJ 7, que “ni el art. III del Acuerdo sobre enseñanza y asuntos culturales suscrito el 3 de enero de 1979 entre el Estado español y la Santa Sede, ni el párrafo segundo de la disposición adicional segunda de la Ley Orgánica 1/1990, de 3 de octubre, excluyen el control jurisdiccional de las decisiones de contratación de los profesores de religión ni vulneran, por tanto, el derecho a la tutela judicial efectiva del art. 24.1 CE”, así como que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dado que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En consecuencia, en lo que respecta al control de constitucionalidad que delimita el objeto de la presente cuestión de inconstitucionalidad no podemos sino descartar que las disposiciones legales cuestionadas vulneren los invocados arts. 20.1 y 28.2 CE, sin perjuicio de las consideraciones que, en su caso, proceda efectuar en el ámbito del control concreto de los actos de aplicación de estas disposiciones legales y de su conformidad con los derechos fundamentales, que corresponde, según hemos señalado, a los órganos judiciales y, en su caso, a este Tribunal Constitucional en el marco del recurso de amparo (STC 38/2007, de 15 de febrero, FJ 14).</w:t>
      </w:r>
    </w:p>
    <w:p w:rsidRPr="00C21FFE" w:rsidR="00F31FAF" w:rsidRDefault="00356547">
      <w:pPr>
        <w:rPr/>
      </w:pPr>
      <w:r w:rsidRPr="&lt;w:rPr xmlns:w=&quot;http://schemas.openxmlformats.org/wordprocessingml/2006/main&quot;&gt;&lt;w:lang w:val=&quot;es-ES_tradnl&quot; /&gt;&lt;/w:rPr&gt;">
        <w:rPr/>
        <w:t xml:space="preserve">Procede reiterar, por ello, el pronunciamiento efectuado en la referida STC 38/2007, de 15 de febrero, con íntegra remisión a la fundamentación jurídica en ella contenida.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párrafos tercero y cuarto del art. III, el art. VI y el art. VII del Acuerdo sobre enseñanza y asuntos culturales, suscrito el 3 de enero de 1979 entre el Estado español y la Santa Sede, ratificado por Instrumento de 4 de diciembre de 1979, así como respecto de la disposición adicional segunda de la Ley Orgánica 1/1990, de 3 de octubre, de ordenación general del sistema educativo, en la redacción dada por la Ley 50/1998,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