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3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5882-2011, promovido por el partido político Demos el Cambio (para la provincia de Sevilla), representado por la Procuradora de los Tribunales doña Beatriz Calvillo Rodríguez y bajo la dirección del Letrado don Juan María Ballesteros García, contra la Sentencia del Juzgado de lo Contencioso-Administrativo núm. 5 de Sevilla de 29 de octubre de 2011, dictado en el procedimiento contencioso-electoral núm. 620-2011, por la que se desestima el recurso interpuesto contra el acuerdo de la Junta Electoral Provincial de Sevilla de 24 de octubre de 2011, sobre no proclamación de candidatura.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octubre de 2011, la Procuradora de los Tribunales doña Beatriz Calvillo Rodríguez, en nombre y representación del partido político Demos el Cambio (para la provincia de Sevilla), y bajo la dirección del Letrado don Juan María Ballesteros García, interpuso demanda de amparo electoral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partido recurrente, que no había obtenido ninguna representación parlamentaria en las anteriores elecciones generales celebradas en 2008, presentó su candidatura para las elecciones generales convocadas por Real Decreto 1329/2011, de 26 de septiembre, en la circunscripción de Sevilla, adjuntando la firma de 610 electores inscritos en el censo electoral de dicha circunscripción, lo que no representaba, al menos, el 0,1 por 100 de dicho censo (1506 firmas), tal como exige el art. 169.3 de la Ley Orgánica del régimen electoral general (LOREG), en la redacción dada por la Ley Orgánica 2/2011, de 28 de enero. Por acuerdo de la Junta Electoral Provincial de Sevilla de 20 de octubre de 2011 se requirió al partido recurrente para la subsanación de dicha deficiencia de avales. Ese mismo día, la junta electoral provincial notificó al partido recurrente que según resolución de la Junta Electoral Central de 20 de octubre de 2011 la omisión de avales no es subsanable, por lo que dejó sin efecto el anterior requerimiento de subsanación. A pesar de ello, dentro del plazo inicialmente concedido, el partido político recurrente hizo entrega de los avales. Por acuerdo de la Junta Electoral Provincial de Sevilla de 24 de octubre de 2011 se decidió la no proclamación de la candidatura, argumentando la insubsanabilidad de la presentación de avales, “no obstante haber presentado nuevos avales en el plazo concedido para subsanación de irregularidades”.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partido demandante interpuso recurso contencioso-electoral ex art. 49 LOREG ante el Juzgado de lo Contencioso-Administrativo núm. 5 de Sevilla, que fue tramitado con el núm. 620-2011, argumentando que el acuerdo de la Junta Electoral Provincial de Sevilla de 24 de octubre de 2011 de no proclamación de la candidatura por la insubsanabilidad de la exigencia de los avales, siguiendo la decisión de la Junta Electoral Central en ese mismo sentido, resulta arbitraria y errónea.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recurso fue desestimado por Sentencia de 29 de octubre de 2011, argumentando que el incumplimiento del art. 169.3 LOREG respecto de la necesidad de adjuntar avales excede de una mera irregularidad subsanable y que la decisión adoptada por la junta electoral provincial lo ha sido en virtud de una decisión de la presidencia de la Junta Electoral Central, siendo competente para analizar la legalidad de dicha decisión el Tribunal Supremo de conformidad con lo dispuesto en el art. 12.3.a) de la Ley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partido recurrente aduce en su demanda de amparo que la decisión de la Junta Electoral Provincial de Sevilla de no proclamación de su candidatura por la insubsanabilidad de la exigencia de avales del art. 169.3 LOREG supone una vulneración del derecho de acceso a los cargos públicos (art. 23.2 CE). Así, señala que este acuerdo de no proclamación trae causa en una resolución de la presidencia de la Junta Electoral Central, que resultaba vinculante para la junta electoral provincial, pero que fue adoptada el día 20 de octubre de 2011 y, por tanto, una vez finalizado ya el periodo de presentación de las candidaturas, sin haber dado cumplimiento a los requisitos de publicidad establecidos en el art. 18.6 LOREG. Igualmente, se pone de manifiesto que la decisión sobre la insubsanabilidad de esta exigencia de avales resulta contraria tanto a la jurisprudencia del Tribunal Constitucional sobre la subsanabilidad en los procesos de proclamación de candidaturas como a la propia instrucción 7/2011, de 15 de septiembre, de la Junta Electoral Central, relativa al procedimiento de acreditación de firmas de apoyo a las candidaturas, al no haberse adoptado un criterio más favorable al ejercicio del derecho del art. 23.2 CE. Por último, también se señala que la circunstancia de que se anulara una previa decisión de requerimiento de subsanación de esta exigencia de avales produce una vulneración de la seguridad jurídica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31 de octubre de 2011, acordó admitir a trámite la demanda de amparo, requerir al órgano judicial la remisión de las actuaciones correspondientes y el emplazamiento de quienes hubieran sido parte en el procedimiento, a excepción de la recurrente, para que pudiesen comparecer en el plazo de dos días en el presente proceso de amparo y conceder un plazo de un día al Ministerio Fiscal para efectuar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registrado el 1 de noviembre de 2011, interesó que se declarara la inadmisión de recurso por no haber sido justificada su especial trascendencia constitucional [arts. 49.1 in fine y 50.1 a) de la Ley Orgánica del Tribunal Constitucional] y, subsidiariamente, que se estime el amparo solicitado por vulneración del derecho a acceder en condiciones de igualdad a las funciones y cargos públicos (art. 23.2 CE), con anulación de las resoluciones impugnadas y retroacción de las actuaciones. A esos efectos, en cuanto a la causa de inadmisión, el Ministerio Fiscal afirma que en la demanda de amparo nada se razona a propósito de la especial trascendencia constitucional del recurso. En lo referente a la cuestión de fondo, el Ministerio Fiscal argumenta que la decisión de no proclamación de su candidatura, por considerar que la omisión o insuficiencia en la presentación de los avales exigidos por el art. 169.3 LOREG no es susceptible de subsanación, no se ajusta a la doctrina constitucional ni a la exigencia de interpretación más favorable a la eficacia del ejercicio del derecho del art. 23.2 CE, destacando que el partido recurrente presentó en el plazo de subsanación los avales necesarios.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las resoluciones impugnadas han vulnerado el derecho a acceder en condiciones de igualdad a las funciones y cargos públicos (art. 23.2 CE), por haberse considerado insubsanable la presentación de los avales exigidos por el art. 169.3 de la Ley Orgánica del régimen electoral general (LOREG), en la redacción dada por la Ley Orgánica 2/2011,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queja formulada por el partido recurrente es necesario despejar el óbice de admisibilidad aducido por el Ministerio Fiscal, que afirma que la demanda carece de la necesaria justificación de la especial trascendencia constitucional del recurso exigida por el art. 49.1 in fine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escrito de demanda pone de manifiesto que el partido recurrente argumenta que la vulneración aducida del art. 23.2 CE se imputa directamente a una decisión de aplicación general y carácter vinculante para todas las juntas electorales provinciales, como es la resolución de la presidencia de la Junta Electoral Central de 20 de octubre de 2011 sobre la insubsanabilidad de la omisión de la presentación de avales, y que, además, esta alegación se pone en relación con la reciente modificación legislativa del art. 169.3 LOREG en virtud de la Ley Orgánica 2/2011, que introduce como novedad la exigencia de un porcentaje mínimo de avales para presentar candidaturas a los partidos que no obtuvieron representación parlamentaria en la anterior convocatoria de elecciones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cabe entender que el partido recurrente conecta materialmente en su demanda la alegada lesión con diversos criterios que, conforme a lo ya expuesto en la STC 155/2009, de 25 de junio, FJ 2, dotarían de trascendencia al recurso, como son que el mismo plantea un problema o una faceta de un derecho fundamental susceptible de amparo sobre el que no hay doctrina del Tribunal Constitucional, por provenir de una reciente modificación legislativa, y que, además, la pretendida vulneración trae causa de una normativa de aplicación general y carácter vinculante para las Administraciones electorales provinciales. En consecuencia, ha de entenderse satisfecha en el presente caso la carga de justificar la especial trascendencia constitucional a la que se refiere el art.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al fondo de la queja planteada sobre la subsanabilidad de la presentación de avales, debe señalarse que esta cuestión ya ha sido objeto de pronunciamiento por parte de este Tribunal en las Sentencias de la Sala Primera 162/2011 y 163/2011, ambas de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dichas Sentencias se razona (fundamentos jurídicos 6 y 12, respectivamente) que, conforme a la reiterada doctrina de este Tribunal que allí se cita (por todas, SSTC 59/1987, de 19 de mayo, FJ 3; 24/1989, de 2 de febrero, FJ 6; y 96/2007, de 8 de mayo, FJ 6) sobre la subsanación de los defectos en los que se puede incurrir al presentar las candidaturas ante la Administración electoral, “[l]a insuficiencia de avales ha de considerarse un defecto subsanable, susceptible, por tanto, de ser corregido mediante el trámite de subsanación que, de acuerdo con lo previsto en el art. 47.2 LOREG, indefectiblemente tiene que otorgar la Administración electoral cuando advierta que el número de firmas presentado es inferior al legalmente requerido”. Y así se concluye en ambas Sentencias que la junta electoral provincial correspondiente, al aplicar el criterio (constitucionalmente inadecuado) establecido en la resolución de 20 de octubre de 2011 del Presidente de la Junta Electoral Central y entender por ello que la insuficiencia de avales no es un requisito subsanable, vulneró el derecho de acceso a los cargos públicos en condiciones de igualdad (art. 23.2 CE), lo que condujo al otorgamiento del amparo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presente caso nos lleva igualmente a otorgar el amparo, pues, como ha quedado expuesto en los antecedentes, la Junta Electoral Provincial de Sevilla decidió no proclamar la candidatura del partido político recurrente al considerar, de acuerdo con el criterio sentado en la citada resolución del Presidente de la Junta Electoral Central de 20 de octubre de 2011, que la insuficiencia en el número de avales válidos presentados es un requisito insubsanable (y por ello no permitió la aportación de los avales adicionales que el partido intentó presentar dentro del plazo de subsanación de irregularidades previsto en el art. 47.2 LOREG), lo que determina la vulneración del derecho de los integrantes de la candidatura a la que representa el partido recurrente a acceder a los cargos públicos en condiciones de igualdad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partido político Demos el Cambio (para la provincia de Sevilla)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a acceder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acuerdo de la Junta Electoral Provincial de Sevilla de 24 de octubre de 2011 de no proclamación de la candidatura del partido político Demos el Cambio (para la provincia de Sevilla) en dicha circunscripción electoral, así como de la Sentencia del Juzgado de lo Contencioso-Administrativo núm. 5 de Sevilla de 29 de octubre de 2011, dictada en el recurso contencioso-electoral núm. 620-2011.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acuerdo de la Junta Electoral Provincial de Sevilla de 24 de octubre de 2011 para que por dicha junta electoral se admita la subsanación mediante la aportación de avales y previo el examen de los mismos, decida lo que corresponda sobre la proclamación de la candidatura del partido político Demos el Cambio (para la provincia de Sevilla).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