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7558-2014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diciembre de 2014 tuvo entrada en el Registro General de este Tribunal un oficio de la Sección Segunda de la Sala de lo Contencioso-Administrativo del Tribunal Superior de Justicia de Castilla-La Mancha, al que se acompaña, junto al testimonio del procedimiento ordinario núm.118-2011, el Auto de 4 de noviembre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Uno de los afectados por el proyecto de expropiación derivado del “proyecto de singular interés Parque Industrial y Tecnológico de Illescas”, recurrió en vía contencioso-administrativa la resolución del Jurado Regional de Valoraciones de la Junta de Comunidades de Castilla-La Mancha que fijó el justiprecio de sus fincas, que se encontraban en situación de suelo rural.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conclusas las actuaciones, mediante providencia de 26 de marzo de 2014, se señaló fecha y hora para la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Deliberado el asunto la Sala entendió que los preceptos en que se fundamenta la valoración del Jurado Regional de Valoraciones podrían ser inconstitucionales en cuanto que limitan el valor obtenido por capitalización de rentas, no permitiendo otro incremento sobre el valor básico así obtenido que hasta un máximo del doble, atendiendo a factores objetivos de localización y sin posibilidad de apreciar la existencia de expectativas urbanísticas.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Antes de dictar sentencia, por providencia de 13 de octubre de 2014, la Sección Segunda de la Sala de lo Contencioso-Administrativo del Tribunal Superior de Justicia de Castilla-La Mancha,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 14 en cuando se permite al resto de los propietarios realizar su valor real (esta providencia es idéntica a la que se dictó en la cuestión de inconstitucionalidad 6059-2014).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Ministerio Fiscal, en escrito presentado el 17 de octubre de 2014, consideró pertinente el planteamiento de la cuestión de inconstitucionalidad por entender que el art. 23.2, en relación con los arts. 12 y 25 del Real Decreto Legislativo 2/2008, pudiera ser contrario al art. 33.3 CE. No llega a la misma conclusión, sin embargo, respecto a la posible vulneración.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en escrito de 15 de octubre de 2014, se opuso al planteamiento de la cuestión por lo que hace a los arts. 23.1 y 23.2 del Real Decreto Legislativo 2/2008, con el argumento de que la STC 141/2014 no los había declarado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que evacua el trámite mediante escrito de 27 octubre de 2014, considera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Sección Segunda de la Sala de lo Contencioso-Administrativo del Tribunal Superior de Justicia de Castilla-La Mancha dictó Auto de 4 de noviembre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tras referirse a los antecedentes de hecho del caso y de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[sic]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cuando se refiere a las expectativas urbanísticas, “a fin de aclarar que no está defendiendo que se deban valorar puras hipótesis, valores no reales o perjuicios meramente inciertos o futuros…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arto 33.3 CE y el 14 CE”. Y sobre la constitucionalidad del régimen previsto en el artículo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se refiere también a la STC 141/2014, de 11 de septiembre, que declaró inconstitucional y nulo el inciso “hasta un máximo del doble” del art. 22 1 a), párrafo tercero, de la Ley 8/2007, de 28 de mayo, de suelo y del art. 23.1 a), párrafo tercero, del texto refundido de la Ley de suelo, aprobado por Real Decreto legislativo 2/2008, de 20 de junio. La Sala de lo Contencioso-Administrativo considera que la STC 149/2014, aun reconociendo su importante alcance, no agota el debate y que en el caso de autos concurren, según se sostiene, circunstancias específicas que lleva a la Sala de lo Contencioso-Administrativo a entender que los criterios legales de valoración lesionan los derechos constitucionales de los afectados. Junto a ello se sostiene que la referida Sentencia no se pronuncia sobre la constitucionalidad del art. 25.1 del Real Decreto Legislativo 2/2008, precepto que la Sala cuestiona expresamente al considerarlo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concluir que los preceptos cuestionados son contrarios al art. 33.3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2015, la Sección Primera del Tribunal Constitucional acordó oír al Fiscal General del Estado para que, en el plazo de diez días, y a los efectos que determina el art. 37.1 de la Ley Orgánica del Tribunal Constitucional (LOTC), alegase lo que considerase conveniente “en relación con la pérdida de objeto de la cuestión de inconstitucionalidad respecto del art. 25.2 a) del Real Decreto Legislativo 2/2008 y de su carácter notoriamente infundado (por efecto de lo resuelto en la STC 218/2015, de 22 de octubre) respecto a los otros preceptos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25 de enero de 2016. A su juicio, la cuestión planteada no ha realizado debidamente el juicio de relevancia en cuanto a las dudas que se le plantean respecto de los arts. 23.1 y 25.1 del Real Decreto Legislativo 2/2008 a la luz de la STC 141/2015, que consideró inconstitucional el inciso del art. 23.1 a) “hasta el máximo del doble”. Asimismo se cita la STC 43/2015 y la STC 201/2015. Considera la Fiscal General que “el órgano judicial solo manifiesta una serie de causas inconcretas y faltas de argumentación sobre la posible inconstitucionalidad de dichos preceptos por motivos diferentes a los que fueron analizados en la STC 141/2015, que no concreta, por lo que no habría llevado a cabo un juicio de relevancia adecuado, ya que no explicita cuales son aquellas razones que harían a dichos preceptos legales, además del analizado en la sentencia constitucional, contrarios al art. 33.3 CE”. Según se alega, el órgano judicial no ha efectuado un adecuado juicio de relevancia sobre lo que la Sala denomina “otras circunstancias específicas” y por ello considera que la presente cuestión debería inadmitirse por un inadecuado o inexistente juicio de relevancia … respecto de la dudad de inconstitucionalidad que se plantea el órgano judicial respecto de los arts. 23.1 a) y 25.1 del Real Decreto Legislativo 2/2008 tras la STC 141/2015.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aduce que esta cuestión debería ser resuelta en los términos que han sido declarados por la STC 244/2015, de 30 de noviembre, que, a su vez se remite a las SSTC 141/2014 y 218/2015.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procede declarar la inadmisión de la presente cuestión en relación con el art. 23.1 a) y 25.1 del Real Decreto Legislativo 2/2008 respecto de las dudas de inconstitucionalidad planteadas por la Sala de lo Contencioso-Administrativo tras la STC 141/2015; declarar la pérdida sobrevenida de objeto en relación con los arts. 23.1 a) (en los términos de la STC 141/2014) y 25.2 a) del Real Decreto Legislativo 2/2008 (en los términos de la STC 218/2015) y declarar que la cuestión es manifiestamente infundada respecto de los arts. 12, 23.2 y 25.1 del Real Decreto Legislativo 2/2008.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el art. 25.2 a) del Real Decreto Legislativo 2/2008 porque así ha se ha pronunciado el Tribunal en un supuesto idéntico en la STC 244/2015, de 30 de noviembre, criterio que extiende al art. 23.1 a)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de la Ley Orgánica del Tribunal Constitucional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tengan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texto refundido de la Ley de suelo,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texto refundido de la Ley de suelo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texto refundido de la Ley de suelo de las situaciones en que se encuentra el suelo incluyendo en la situación de rural suelos con distinta clasificación urbanística, no es inconstitucional. No solo porque tiene carácter meramente instrumental para la definición de los derechos y deberes de las distintas propiedades del suelo y, aplicar conforme a éstos, un determinado método de valoración, sino porque, además, la clasificación del suelo, con ser un método posible no es el único que respeta el art. 33 CE. Por las mismas razones, no es inconstitucional que el art. 25.1 del texto refundido de la Ley de suelo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texto refundido de la Ley de suelo, que se limita a concretar la regla mencionada, descartando que se tengan en cuenta, en el método de capitalización de rentas, las que podrían derivar del destino de transformación urbanística que haya contemplado o pudiera otorgar en el futuro el planeamiento urbanístico o la ordenación territorial”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 ste Tribunal afirmó en la STC 141/2014, de 11 de septiembre, FJ 9 b) y ha reiterado en la STC 43/2015, de 2 de marzo, FJ 5, en cuanto al método contemplado en el art. 23 del texto refundido de la Ley de suelo,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encuentran en situación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texto refundido de la Ley de suelo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dos mil quince. a doce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