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la cuestión de inconstitucionalidad núm. 4866-2016 y apartarle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septiembre de 2016 tuvo entrada en el registro generañ de este Tribunal un escrito del Juzgado de lo Contencioso-Administrativo núm. 1 de Jerez de la Frontera, al que se acompaña, junto al testimonio del correspondiente procedimiento, Auto de 25 de julio de 2016, recaído en el recurso contencioso-administrativo núm. 446-2015, por el que se acuerda promover ante este Tribunal cuestión de inconstitucionalidad respecto el art. 107 del Real Decreto Legislativo 2/2004, de 5 de marzo, por el que se aprueba el texto refundido de la Ley reguladora de las haciendas locales, por posible vulneración del art.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24 de enero de 2017 el Magistrado don Juan Antonio Xiol Ríos comunicó su voluntad de abstenerse en el conocimiento de la presente cuestión de inconstitucionalidad por entender que concurría la causa 10 del art. 219 de la Ley Orgánica del Poder Judicial, porque en la actualidad mantiene pendiente de resolución por parte del Ayuntamiento de Madrid una solicitud de reintegro de ingresos indebidos que trae causa de la aplicación del precepto legal cuya constitucionalidad se cuestiona en el presente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al mantener en la actualidad pendiente de resolución por parte del Ayuntamiento de Madrid una solicitud de reintegro de ingresos indebidos que trae causa de la aplicación del precepto legal cuya constitucionalidad se cuestiona en el presente procedimiento, está incurso en la causa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la cuestión de inconstitucionalidad núm. 4866-2016 y apartarle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