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12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7357-2013, promovido por el Presidente del Gobierno contra el artículo 1 de la Ley del Parlamento de Andalucía 4/2013, de 1 de octubre, de medidas para asegurar el cumplimiento de la función social de la vivienda, por el que se da nueva redacción al artículo 1.3 de la Ley 1/2010, de 8 de marzo, reguladora del derecho a la vivienda en Andalucía y se introducen en ella los artículos 25 y 53.1 a), y contra la disposición adicional primera de la mencionada Ley 4/2013. Han comparecido y formulado alegaciones el Parlamento y el Gobierno de Andalucía.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diciembre de 2013, el Abogado del Estado, en nombre del Presidente del Gobierno, interpuso recurso de inconstitucionalidad contra el artículo 1 de la Ley del Parlamento de Andalucía 4/2013, de 1 de octubre, de medidas para asegurar el cumplimiento de la función social de la vivienda, por el que se dio nueva redacción al artículo 1.3 de la Ley 1/2010, de 8 de marzo, reguladora del derecho a la vivienda en Andalucía y se introdujeron en ella los artículos 25 y 53.1 a) y contra la disposición adicional primera de la mencionada Ley 4/2013. Los motivos del recurso,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Previamente, precisa el Abogado del Estado que el objeto del recurso es la Ley del Parlamento de Andalucía 4/2013, que trae causa del Decreto-ley de la Junta de Andalucía 6/2013, de 9 de abril, de medidas para asegurar el cumplimiento de la función social de la vivienda, que fue objeto del recurso de inconstitucionalidad núm. 4286-2013. Este decreto-ley fue derogado por la ley ahora recurrida, que reproduce su contenido en lo que respecta a la redacción de los artículos 1.3, 25 y 53.1 a) de la Ley 1/2010. En cuanto a la disposición adicional primera de la Ley 4/2013, coincide en parte con la disposición adicional segunda del Decreto-ley 6/2013, si bien amplía su ámbito subjetivo.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los preceptos de la Ley 4/2013 cuestionados, se afirma que la finalidad fundamental de ésta y del Decreto-ley 6/2013 es idéntica y se centra en la regulación de la función social de la propiedad como parte inseparable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4/2013 se dicta al amparo de la competencia exclusiva de la Comunidad Autónoma de Andalucía en materia de vivienda, urbanismo y ordenación del territorio (art. 56 del Estatuto de Autonomía para Andalucía: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preceptos impugnados vulneran la competencia estatal del artículo 149.1.13 CE al incidir sobre uno de los ámbitos esenciales de la política económica del Gobierno como es la reestructuración del sistema financiero y la estabilidad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18/2011 recoge la doctrina constitucional sobre el artículo 149.1.13 CE que incluye la competencia estatal para fijar criterios globales de ordenación de sectores económicos concretos y las medidas singulares necesarias en la ordenación de cada sector. Aunque esta sentencia se refería al sector energético, sus consideraciones son trasladables al sector financiero (STC 235/1999).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crisis económica iniciada en 2008, afectó severamente a todo el sector financiero europeo y, singularmente, al español, como pusieron de relieve los informes anuales del Banco de España de los años 2008 y siguientes (transcritos en parte). El “Memorándum de entendimiento” suscrito por España y las autoridades europeas en 2012, asumía la negativa afección del sector bancario español por el estallido de la burbuja inmobiliaria y la posterior recesión económica e imponía al Estado español plazos para garantizar la reestructuración de todo el sector bancario.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adoptadas por Andalucía en los preceptos impugnados, comprometen gravemente la reestructuración mencionada. Así lo entendió la Comisión europea que remitió al Ministerio de Economía español una carta (documento 5 de la demanda) en la que expresaba, entre otros extremos, su preocupación “por la inseguridad que generan las medidas andaluzas en el sector inmobiliario e hipotecario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pieza esencial del complejo proceso de reestructuración del sector financiero español es la Sociedad de Gestión de Activos procedentes de la Reestructuración Bancaria (SAREB). Así resulta de las Leyes 8/2012, de 30 de octubre, de saneamiento y venta de los activos inmobiliarios del sector financiero y 9/2012, de 14 de noviembre, de reestructuración y resolución de entidades de crédito. Según el preámbulo de ambas leyes, una parte principal del proceso de reestructuración bancaria consistió en la transferencia, por las entidades de crédito con problemas, de sus “activos tóxicos” a la SAREB, a un “precio razonable”, para su gestión y liquidación. Por tanto, el coste para el Estado y el contribuyente del saneamiento bancario, dependerá del precio al que la SAREB sea capaz en los próximos años de vender los inmuebles adjudicados.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SAREB ha elaborado un informe sobre los impactos directos e indirectos que las medidas andaluzas impugnadas tendrán en los activos inmobiliarios por ella gestionados en Andalucía, que son aproximadamente un 12 por 100 de su cartera (documento 6 de la demanda). El informe se elaboró en relación con el Decreto-ley 6/2013 y es plenamente trasladable a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precitado informe describe el impacto sobre la SAREB de los artículos 1.3, 25 y 53.1 a) de la Ley 1/2010, que contemplan eventuales sanciones por posibles incumplimientos de requerimientos de información, configurados en términos muy amplios que, probablemente, no podrán satisfacerse por la SAREB, dado el elevado volumen de activos gestionados. Además, se imponen sanciones por no dar habitación a las viviendas durante seis meses consecutivos, con lo que la SAREB podría enfrentarse a multas por un importe global “de 57.411.000 € solo por estas infracciones graves”. A esto, se añade el posible incremento de viviendas titularidad de la SAREB en Andalucía, por el elevado número de préstamos con garantía hipotecaria en su cartera, con lo que las sanciones podrían “aumentar en 156.510.000 €” y se produciría una notable pérdida de valor de dicha cartera.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perjudicial para la SAREB el mecanismo expropiatorio de la disposición adicional segunda del Decreto-ley 6/2013 (disposición adicional primera de la Ley 4/2013), pues “ningún inversor comprará carteras de vivienda en Andalucía cuando una norma con rango de Ley permite al ulterior adquirente permanecer en ella por un plazo de hasta tres años sin satisfacer renta alguna”. Además, la Ley 4/2013, crea incertidumbre en su convivencia con la medida estatal de suspensión de los lanzamientos durante un plazo de dos años. La lectura de la Ley andaluza permite entender que, el plazo de tres años de expropiación de uso, comienza tras los dos años de suspensión, con lo que la recuperación del uso del inmueble se retrasaría en Andalucía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reitera que la Ley 4/2013 pone en riesgo una pieza clave de todo el proceso estatal de reestructuración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Específicamente, el artículo 1.3 de la Ley 1/2010, en la redacción dada por la Ley 4/2013, innova el contenido esencial del derecho de propiedad de las viviendas sitas en Andalucía al integrar en él un deber, hasta ahora inexistente, de destinar tales viviendas al uso habitacional.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artículo 53.1 CE resulta que el contenido esencial de los derechos y libertades del capítulo II del título I de la Constitución, entre los que está el derecho de propiedad, es un “límite de límites” que actúa frente al legislador y emana directamente del texto constitucional. En cuanto al contenido esencial del derecho de propiedad, a partir del artículo 33 CE, el Tribunal ha declarado que la utilidad individual y la función social lo definen inescindiblemente, de forma que “la limitación de la propiedad privada en atención a su función social, nunca puede anular el necesario espacio de utilidad privada del derecho que permita reconocer socialmente la propiedad como privada”. Las limitaciones del derecho en atención a su función social, deben respetar el test de proporcionalidad en sus tres escalones de idoneidad, necesidad y ponderación (SSTC 89/2006 y 173/2011).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 de la Ley 1/2010, redactado por la Ley 4/2013, no cumple las exigencias de necesidad ni de ponderación. Las medidas que contempla no son indispensables ya que existen otras, más moderadas, que permiten igualmente atender la situación de emergencia social que se trata de afrontar y perjudican otros bienes o valores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1.3 de la Ley 1/2010, redactado por la Ley andaluza 4/2013, vulnera además las competencias exclusivas del Estado de los apartados primero y octavo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149.1.1 CE, ya la STC 61/1997 declaró que, a su amparo, corresponde al Estado regular el contenido básico y primario del derecho de propiedad para garantizar la igualdad de todos los españoles, lo que incluye, dice el recurrente, la regulación de su función social. No puede haber funciones sociales distintas en distintas áreas del territorio nacional. El Estado ha de fijar, por lo menos, los límites infranqueables del ámbito de libertad del propietario; es decir, las limitaciones máximas que puede conllevar la función social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falta de una legislación específica estatal sobre la materia, por lo menos es evidente que una Comunidad Autónoma, no tiene competencia para imponer sanciones nuevas para supuestos de incumplimiento de la función social de la propiedad, respecto de las previstas en la ley estatal. El Estado podría fijar, como bases o condiciones básicas para garantizar la igualdad de todos los españoles en relación con la propiedad privada, limitaciones máximas por razón de la función social que las Comunidades Autónomas con competencias en materia de vivienda podrían luego concretar pero, sin previa regulación estatal, la Comunidad Autónoma no puede fijar esos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1.3 de la Ley 1/2010, redactado por la Ley 4/2013, al regular un deber de uso habitacional de la vivienda que es parte del contenido esencial del derecho de propiedad, invade la competencia estatal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1.3 de la Ley 1/2010 (en la redacción de la Ley 4/2013) infringe, asimismo, la competencia estatal en materia de legislación civil del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la STC 37/1987, FJ 8, sobre la Ley de reforma agraria de Andalucía de 1984, el Tribunal ya negó que la propiedad privada sea una institución unitaria, exclusivamente regulada en el Código civil, y reconoció una vertiente institucional derivada de su función social a partir de la cual admitió la competencia autonómica, al amparo del título sectorial de “reforma y desarrollo del sector agrario” para legislar sobre la propiedad de la tierra y su función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presente supuesto, se invade la competencia estatal del artículo 149.1.8 CE, pues, a diferencia de lo que ocurría en la Ley de reforma agraria, la Ley 4/2013, en la redacción que da al artículo 1.3 de la Ley 1/2010, regula explícita y abiertamente el contenido esencial del derecho de propiedad de la vivienda. A la diferencia entre ambos supuestos se refiere el dictamen núm. 706/2013 del Consejo de Estado (documento 7), emitido con ocasión del recurso de inconstitucionalidad frente al Decreto-ley 6/2013, que se transcribe en parte, en el que se destaca que, en el caso enjuiciado en la STC 37/1987, a diferencia del presente, existía una legislación estatal previa sobre función social de la propiedad agraria que daba soporte a la ley autonómica. El Consejo de Estado, en dicho informe, concluye que el artículo 1.3 impugnado lesiona tanto el artículo 149.1.1 como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25 de la Ley 1/2010, redactado por la Ley 4/2013, define las viviendas deshabitadas mientras que el artículo 53.1 a) tipifica como infracción muy grave “no dar efectiva habitación a la vivienda en los términos establecidos en el artículo 25, siempre que el titular de la misma sea una persona jurídica”. Ambos artículos son inconstitucionales por conexión con el artículo 1.3 de la Ley 1/2010. Así lo entendió también el Consejo de Estado. El mismo preámbulo de la Ley 4/2013, configura la normativa sancionadora como garante del cumplimiento de los fines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destaca la asimetría que la Ley 4/2013 genera en las relaciones entre el propietario de la vivienda —persona jurídica— y sus ocupantes. Será menos gravoso para aquél asumir el impago de varias mensualidades de renta que exponerse a multas de hasta nueve mil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los artículos 25 y 53.1 a), vulneran los artículos 24.2, 25 y 149.1.18 CE. El primero, establece los criterios para definir una vivienda como deshabitada, en base a presunciones y meros indicios de distinta naturaleza, contrarios al principio de presunción de inocencia, que también rige en el procedimiento administrativo sancionador. Se invierte además la carga de la prueba en cuanto bastan dichos indicios para que sea el propietario el que debe acreditar la habitación. Se vulneran pues los principios básicos del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el artículo 53.1 a) vulnera el artículo 25 CE pues, en nuestro ordenamiento, no puede establecerse una responsabilidad penal o administrativa sancionadora al margen del principio de culpabilidad. Así lo dice expresamente, en su ámbito, el artículo 130.1 de la Ley 30/1992, de régimen jurídico de las Administraciones públicas y del procedimiento administrativo común. De los artículos 25 y 53.1 a) resulta que solo se consideran infractores del deber de uso habitacional a las personas jurídicas, siendo notorio que éstas no tienen poder de disposición absoluto sobre la ocupación de sus viviendas, salvo que se les impusiera la obligación de alquilar a cualquier precio o de cederlas gratuitamente. Ello, sin embargo, vulneraría las condiciones básicas del derecho de propiedad y el derecho a una indemnización previa a toda expropiación forzosa. Si se entiende necesario disponer de un parque de viviendas para personas en riesgo de exclusión social, caben otras medidas como financiar el alquiler, intermediar en el mercado o construir o expropiar las viviendas necesarias, pero es inadmisible sancionar al propietario por no alquilar, sin acreditar que dispuso de una oferta mínimamente razonable. Además el artículo 53.1 a) es inconstitucional porque discrimina arbitrariamente a las personas jurídicas frente a las personas físicas que también pueden realizar una actividad mercantil inmobiliaria con lo que se vulneran los artículos 14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adicional primera de la Ley 4/2013 (que añade dos nuevos supuestos de hecho a los de la adicional segunda del Decreto-ley 6/2013) tiene como único sujeto pasivo a las “entidades financieras o sus filiales inmobiliarias o entidades de gestión de activos”. Se discrimina así, sin fundamento ni razón objetiva de ningún tipo, a estas entidades (incluida la SAREB), frente a otras personas jurídicas que pueden actuar en el mercado (inmobiliarias, promotores, fondos de inversión, etc.), con lo que se perjudica su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vulnera el principio de proporcionalidad exigido en la doctrina constitucional (SSTC 66/1995, 107/1996 y 147/2001). La expropiación del uso no tiene ventajas proporcionadas sobre otras alternativas posibles, como el alquiler social. Tampoco se razona que no se produzca la emergencia cuando el desahucio se insta por una persona física o por entidades no financieras. El precepto es innecesario, injustificado y desproporcionado (STC 13/2007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también es inconstitucional por menoscabar las competencias exclusivas del Estado de los apartados 1, 6, 13 y 18 del artículo 149.1 CE. Concretamente, han de tenerse en cuenta las repercusiones de la regulación sobre el mercado hipotecario con posible extensión de la normativa a otras comunidades autónomas, como ya ha ocurrido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14 de enero de 2014, el Pleno, a propuesta de la Sección Tercera, acordó admitir a trámite el recurso de inconstitucionalidad promovido por el Presidente del Gobierno y, en su representación y defensa, por el Abogado del Estado, contra el artículo 1, por el que se da nueva redacción al artículo 1.3 y se introducen los artículos 25 y 53.1 a) en la Ley 1/2010, de 8 de marzo, reguladora del derecho a la vivienda en Andalucía y disposición adicional primera de la Ley 4/2013, de 1 de octubre, de la Comunidad Autónoma de Andalucía, de medidas para asegurar el cumplimiento de la función social de la vivienda; dar traslado de la demanda y documentos presentados, conforme al artículo 34 de la Ley Orgánica del Tribunal Constitucional (LOTC), al Congreso de los Diputados y al Senado, por conducto de sus Presidentes, así como a la Junta y al Parlamento de Andalucía, por conducto de sus Presidentes, al objeto de que, en el plazo de quince días, puedan personarse en el proceso y formular las alegaciones que estimaren convenientes. Se acordó, asimismo, tener por invocado por el Presidente del Gobierno el artículo 161.2 CE, lo que, su tenor y conforme al artículo 30 LOTC, produce la suspensión de la vigencia y aplicación de los preceptos impugnados desde la fecha de interposición del recurso (18 de diciembre de 2013) para las partes del proceso y desde el día en que aparezca publicada la suspensión en el “Boletín Oficial del Estado” para los terceros, ordenándose la comunicación de la suspensión a los Presidentes de la Junta y del Parlamento de Andalucía, así como publicar la incoación del recurso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Con fecha 24 de enero de 2014, la Letrada de la Junta de Andalucía, compareció en el proceso en la representación que legalmente ostenta para que el Tribunal tenga por personado al Gobierno de Andalucía en el recurso de inconstitucionalidad, al tiempo que solicitó una prórroga del plazo concedido para formular sus alegaciones. Igualmente, con fecha 30 de enero de 2014, se personó en el proceso la Letrada del Parlamento de Andalucía solicitando asimismo prórroga de su plazo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sendas diligencias de ordenación de 27 de enero y 3 de febrero de 2014, acordó tener por personados a las Letradas de la Junta de Andalucía y del Parlamento de Andalucía y prorrogar en ocho días el plazo en su día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registrados en este Tribunal el 23 de enero y el 6 de febrero de 2014, respectivamente, los Presidentes del Congreso de los Diputados y del Senado comunicaron el acuerdo de la Mesa de sus respectivas Cámaras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Letrada de la Junta de Andalucía, interesando la desestimación del recurso de inconstitucionalidad, tuvo entrada en este Tribunal el día 18 de febrero de 2014. En resumen,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reproduce los motivos esgrimidos en el que se formuló contra el Decreto-ley 6/2013, de abril, ya derogado, si bien, llama la atención que, tratándose de un recurso de carácter esencialmente económico, no se aporten datos actualizados. No se aportan porque, igual que en el recurso anterior, el planteamiento es incorrecto pues afirma la inconstitucionalidad de los preceptos recurridos por sus hipotéticas consecuencias sobre el mercado financiero, partiendo siempre de la consideración de la vivienda como activo financiero, ignorando que se trata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vivienda es un derecho recogido en normas internacionales y en el artículo 47 CE, que los poderes públicos han de garantizar. La Ley andaluza 4/2013 responde a este mandato. Se adopta al amparo de la competencia autonómica en la materia (art. 56 EAAnd) por lo que no invade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exposición de motivos y documentos anexos, se explica que la Ley pretende dar respuesta a una situación de emergencia social y económica, atendiendo a los principios de subsidiariedad y proporcionalidad. Existen ya antecedentes legales en los que el Estado o una Comunidad Autónoma adoptaron medidas para la protección del derecho a una vivienda digna (Ley estatal 1/2013, de 14 de mayo, de medidas para reforzar la protección de los deudores hipotecarios, reestructuración de deuda y alquiler social y Ley catalana 18/2007, de 28 de diciembre, del derecho a la vivienda). No se ha suscitado que estas leyes afecten al proceso de reestructuración bancaria y, sobre la segunda, se llegó a un acuerdo en la comisión bilateral Estado-Generalitat, que se aporta.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Estado alega lesión del artículo 149.1.13 CE que imputa a la totalidad de los preceptos que impugna. Sin embargo, no realiza ningún esfuerzo argumental para referir esta lesión a cada uno de los artículos por lo que la alegación es general. Se vulnera así la doctrina constitucional que rechaza las controversias competenciales abstractas (STC 147/1991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afirma que las medidas autonómicas impugnadas “desplegarían una eficacia incisiva en la política económica general del Estado”, con lo que saca de contexto una afirmación de la STC 37/1987, relativa a la Ley de reforma agraria andaluza. En todo caso, el recurso no cuestiona la constitucionalidad de la Ley impugnada por alguna extralimitación competencial sino por sus efectos. Pretende que se excluya del mapa normativo cualquier norma autonómica que interaccione con las políticas económicas del Estado. Se extendería así la competencia estatal hasta el infinito en contra de la doctrina contenida, por ejemplo, en la STC 137/1989.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lo dicho sería suficiente para desestimar el recurso, las afirmaciones de la demanda en relación a la afección que las medidas andaluzas tendrían sobre el proceso de reestructuración del sistema financiero español, están huérfanas de apoyatura científica o técnica. Se basan en los mismos datos del recurso contra el Decreto-ley 6/2013 y, exclusivamente, en dos documentos aportados con la demanda (documentos 5 y 6), de los que no cabe extraer tales conclusiones. El documento 5, es una mera misiva de un representante de la Comisión Europea a España, que expresa unas preocupaciones basadas en información cuyo contenido se desconoce y que posiblemente era inexacta. El documento 6 es un informe, sin firma, de la SAREB, cuyos datos no se cotejan. Este informe oculta que, aunque en torno al 12 por 100 de la cartera de viviendas de esta entidad esté en Andalucía, ello solo representa el 1 por 100 de las viviendas vacías en esa Comunidad (documento 9). Deducir así que se va a causar un daño grave a todo el proceso de reestructuración bancaria español, es un exceso. Además, a las viviendas que cita el informe de SAREB, habría que restar las protegidas pues, respecto de éstas, la Ley 4/2013, no impone obligación, ni recoge sanción alguna que no existiera ya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primera de la Ley 4/2013, la SAREB no tiene hipotecas de particulares (documento 7) por lo que será difícil que dicha disposición pueda afectarle. Se añade que son materialmente imposibles las cuantificaciones sobre posibles multas recogidas en el informe de la SAREB. En todo caso, los pretendidos daños a la SAREB afectan a intereses privados, puesto que la participación del sector público en esta entidad no es mayoritaria.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afirmaciones del Estado pugnan con las reglas de la lógica y evidencian un desacuerdo con determinadas políticas sectoriales autonómicas. No se comprende que las medidas de la Ley 4/2013 puedan alterar el sistema financiero español e incluso la prima de riesgo y, en cambio, no hayan tenido ninguna incidencia las numerosas resoluciones de jueces españoles en materia de desahucio. Tampoco medidas equivalentes, adoptadas en España y en otros países de nuestro entorno, han provocado tales efectos. Se vuelve a citar la Ley estatal 1/2013 y se menciona el ejemplo de otros países, con apoyo en el documento 11, adjunto al escrito. Tampoco produjo perjuicio alguno para el sistema financiero la aplicación del Decreto-ley 6/2013, lo que se ilustra con el informe, emitido en abril de 2012, del Colegio de Registradores de España, adjunto como documento 12. Se aportan además dos informes de expertos en la materia (documentos 1 y 2) para rebatir el informe de la SAREB, que se transcriben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recurso de inconstitucionalidad se sustenta en hipotéticas consecuencias de la aplicación de la Ley, sin prueba que las sustente, lo que está vedado a este cauce constitucional (STC 104/2000). De lo alegado y de los documentos aportados resulta que tales afirmaciones son erróneas. Es evidente que se ha de rechazar la pretendida vulneración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rechazan los motivos de inconstitucionalidad “adicionales”, referidos solo al artículo 1.3 de la Ley 1/2010, en la redacción de la Ley 4/2013, comenzando con las supuestas lesiones del artículo 33 CE y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33 CE, la doctrina constitucional (STC 37/1987) concluye la existencia de una doble dimensión en el contenido esencial del derecho de propiedad: individual como derecho subjetivo y colectivo como función social. Esta última es parte integrante del contenido esencial del derecho. Por ello, no es aceptable que desde el Estado se mantenga que la determinación de uno de los deberes que configuran la función social de la propiedad de la vivienda es una limitación externa. Al contrario, la función social de la propiedad de la vivienda, debe razonablemente integrarse por el deber de uso habitacional, en cuanto destino normalizado para hacer efectivo el artículo 47 CE (STC 89/1994).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1.3 de la Ley 1/2010, en la redacción de la Ley 4/2013, no vulnera el contenido esencial del artículo 33 CE. Lo que hace es definirlo con arreglo a su función social. Ya la normativa anterior, incluso preconstitucional, recogía los deberes del propietario como parte del contenido esencial del derecho con arreglo a su función social. Se citan la Ley 19/1975, de 2 de mayo, de reforma de la Ley sobre régimen del suelo y ordenación urbana y los posteriores textos refundidos (Real Decreto 1346/1976 y Real Decreto Legislativo 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rechaza la genérica afirmación de vulneración del principio de proporcionalidad, sin que la representación del Estado descienda a explicarla. Los conceptos de “emergencia social” (que reconoce el propio Estado) y de falta de proporcionalidad de la ocupación efectiva como deber propio de la función social de la propiedad de la vivienda, son incompatibles. La medida es proporcional y razonable si se considera que Andalucía es una de las Comunidades Autónomas con mayor número de desahucios y de viviendas deshabitadas.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proporcionalidad, aplicado al contenido esencial del derecho de propiedad, implica determinar si existe equilibrio entre el derecho y su función social, pues las exigencias colectivas no pueden anular la utilidad individual del derecho (STC 37/1987). En este caso, el deber de uso habitacional de la vivienda no anula las facultades de goce y disposición del propietario.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artículo1.3 de la Ley 1/2010, redactado por la Ley 4/2013, tampoco vulnera la competencia estatal exclusiva del artículo 149.1.1 CE. El recurso confunde, en este punto, las “condiciones básicas” a que se refiere este título competencial con el “contenido esencial” del derecho del artículo 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esencial” del artículo 53 CE es una garantía constitucional en favor del individuo; no una técnica de distribución competencial (STC 61/1997). Por tanto, la delimitación del contenido esencial del derecho a la propiedad de la vivienda no es per se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“condiciones básicas” del artículo 149.1.1 CE se refieren al contenido primario del derecho; no pueden consistir en un régimen jurídico acabado y completo, ni habilitan al Estado para establecer una regulación uniforme de la propiedad privada y su función social (STC 61/1997). Dentro del respeto a las condiciones básicas de la propiedad urbana, establecidas por el Estado ex artículo 149.1.1 CE, la Comunidad Autónoma puede regular los sectores materiales de su competencia en que se inserta el derecho de propiedad, como ocurre en materia de vivienda. Entender otra cosa sería convertir el artículo 149.1.1 CE en un título horizontal, con desconocimiento de la legislación autonómica existente (Ley 7/2002, de ordenación urbanística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de las condiciones básicas de la propiedad urbana ex artículo 149.1.1 CE (que incluye el derecho a la vivienda) está en el texto refundido de la Ley del suelo (Real Decreto Legislativo 2/2008). Así lo dice su artículo 1 y la exposición de motivos. Por ello, son inexactos tanto el escrito de recurso como el dictamen del Consejo de Estado 706/2013, cuando afirman la inexistencia de previa legislación estatal amparada en el artículo 149.1.1 y 8 CE. El éxito del recurso debió, pues, procurarse mediante el estudio y confrontación de la Ley autonómica impugnada y la ley estatal de referencia, lo que no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niega, asimismo, la invasión de la competencia estatal sobre legislación civil del artículo 149.1.8 CE. Ya la STC 37/1987, cuyas consideraciones al respecto se transcriben, rechazó que el derecho de propiedad sea núcleo de la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los motivos “adicionales” de inconstitucionalidad relativos a los artículos 25 y 53.1 a) de la Ley 1/2010, en la redacción dada por la Ley 4/2013, las lesiones invocadas de los artículos 24.2, 25 y 149.1.18 CE, son genéricas y centradas en cuestiones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25 impugnado se incardina en una sección de la Ley relativa a los procedimientos para la declaración de las viviendas deshabitadas. Se trata de un procedimiento meramente declarativo (no sancionador), que no puede vulnerar los principios aplicables a los procedimientos sancionadores. Además, es un procedimiento contradictorio (pues el art. 27 contempla un trámite de alegaciones) que se remite expresamente a la Ley 30/1992, por lo que se preserva la competencia estatal del artículo 149.1.18 CE. También se respeta el principio de subsidiariedad pues si la propiedad acepta y cumple medidas de fomento (art. 36) el procedimiento se archiva.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53.1 a), no vulnera el principio de culpabilidad de los artículos 25 CE y 130 de la Ley 30/1992, por lo ya expuesto. La Ley establece aquí un sistema doblemente garantista pues al procedimiento declarativo, contradictorio y subsidiario, sigue un procedimiento sancionador con pleno respeto a todos los principios que rigen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olvidar que el concepto de vivienda deshabitada ya existe en el ordenamiento con consecuencias jurídicas (arts. 14 y 20 de la Ley 13/2005, de vivienda protegida y suelo) y que diversas normas dan distinto tratamiento, incluso a efectos fiscales, según la clase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Tampoco incurre en inconstitucionalidad la disposición adicional primera de la Ley 4/2013. Aunque el Estado afirma que el precepto invade las competencias estatales de los apartados 1, 6, 11, 13 y 18 del artículo 149.1 CE, no especifica las razones en que basa estas afirmaciones, como exige la doctrina constitucional (STC 237/2007).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único que se deduce de la demanda es una pretendida inconstitucionalidad de la disposición adicional primera por discriminar en contra a las entidades financieras, sus filiales inmobiliarias y las entidades de gestión de activos. Sin embargo, aparte de que la lesión del artículo 14 CE solo es predicable de las personas individuales, este precepto prohíbe las desigualdades artificiosas o injustificadas y, en este caso, el ámbito subjetivo de la norma es plenamente razonable (invoca al respecto, la exposición de motivos de la Ley). Además, se cumple el principio de eficacia del artículo 103 CE, pues, dentro de las personas jurídicas, las entidades bancarias son titulares de una gran bolsa de viviendas deshabitadas. También se cumple el principio de proporcionalidad, pues la medida es adecuada al fin propuesto y no existe una alternativa menos gravosa, estando acreditado (documentos 13 y 14) que el parque público de viviendas de Andalucía se encuentra optimizado.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no supone un sacrificio excesivo, pues se prevé un justiprecio y se expropia el uso temporal, no el derecho. Se respeta la competencia estatal pues, tras la Ley del Estado 1/2013, de medidas de protección a los deudores hipotecarios, solo continua la tramitación de los expedientes no afectados por dicha Ley (documento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24 de febrero de 2014 tuvo entrada en el registro de este Tribunal escrito de la Letrada del Parlamento de Andalucía en el que resume los argumentos del recurso y solicita su íntegra desestimación con base, en síntesis, en las alegaciones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supuesta invasión de la competencia estatal del artículo 149.1.13 CE que alega el Estado no se basa en datos reales sino en meras sospechas e hipótesis sobre las consecuencias que la aplicación de los preceptos impugnados podría tener sobre la reestructuración del sector financiero. Esta sola circunstancia debe llevar a desestimar el recurso, pues la doctrina constitucional no permite reclamaciones competenciales preventivas o hipotéticas (STC 137/1989,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existe conexión entre las disposiciones impugnadas y la reestructuración del sector financiero, ni se enmarcan aquellas en el ámbito material de los títulos competenciales del artículo 149.1, apartados 11 y 13 CE, definido en la STC 235/1999. Los preceptos recurridos no persiguen la regulación de los intermediarios financieros, ni de los activos inmobiliarios en poder de la SAREB o de entidades financieras, ni se dirigen a dar líneas directrices sobre el sector bancario ni el inmobiliario. Su objetivo es hacer efectivo el derecho a disfrutar de una vivienda digna. Ésta es la materia en la que se encuadran, que es competencia de la Comunidad Autónoma de Andalucía (art. 56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4/2013, que trae causa del Decreto-ley 6/2013 (objeto del recurso de inconstitucionalidad 4286-2013), confirma que supone una profundización y avance en las políticas públicas de vivienda, con especial atención a los sectores más vulnerables. A la misma conclusión se llega analizando los preceptos impugnados, a partir de la doctrina constitucional que incluye en la materia de vivienda, de exclusiva competencia autonómica, todas las actuaciones encaminadas a definir una política propia al respecto, para facilitar el acceso a la vivienda y cumplir el mandato del artículo 47 CE (SSTC 152/1988, 36/2012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artículo 149.1.13 CE es un título horizontal que permite al Estado establecer limitaciones puntuales a la competencia autonómica en materia de vivienda, ello no puede suponer que sea competencia estatal cualquier actuación pública con repercusiones en el mercado inmobiliario, lo que conllevaría la negación misma de la competencia de las comunidades autónomas en este ámbito. La vis expansiva del artículo 149.1.13 CE, que defiende el recurrente, ha sido negada por el Tribunal Constitucional (SSTC 125/1984, 37/1987, 152/1988 y otras). Los extremos que, según la doctrina constitucional, pueden entenderse comprendidos en las bases y coordinación de la planificación económica, son solo los que tengan una incidencia significativa y directa sobre la economía general (SSTC 45/2001, 112/2013, 124/2013 y 139/2013). De esta jurisprudencia se deduce que los límites resultantes del título horizontal del Estado no suponen la imposibilidad autonómica de adoptar medidas con incidencia económica sino la necesidad de que la Comunidad Autónoma, en ejercicio de sus competencias sobre vivienda, respete los criterios globales de ordenación del sector fijados por el Estado ex artículo 149.1 13 CE que, en todo caso, han de ser puntuales y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analizar si los artículos impugnados respetan las directrices fijadas por el Estado ex artículo 149.1.13 CE en el subsector económico de la vivienda, se destaca primero que el recurso no cita ninguna disposición básica concreta vulnerada. Por tanto, a falta de norma básica estatal, Andalucía está facultada por el artículo 56 de su Estatuto de Autonomía para movilizar su parque de viviendas desocupadas a través de las medidas ahora recurridas, aunque puedan influir en el precio de venta de las viviendas. Las circunstancias citadas en la demanda, como la necesidad de superar la crisis económica o de minimizar el coste de la reestructuración bancaria, no son criterios de delimitación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preceptos recurridos no impiden la reestructuración del sector bancario, ni vulneran las disposiciones que la regulan, citadas genéricamente por el recurrente (Ley 8/2012, sobre saneamiento y venta de los activos inmobiliarios del sector financiero; Ley 9/2012, de reestructuración y resolución de entidades de crédito; Real Decreto 1559/2012, sobre régimen jurídico de las sociedades de gestión de activos). Estas son disposiciones que disciplinan la actividad bancaria, sin relación con las políticas de vivienda ni con la delimitación de la propiedad privada y el mecanismo expropiatorio regulado en las normas recurridas. Prueba de ello, se reitera, es que el recurso no cita ningún precepto de estas normas que resulte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del proceso de reestructuración bancaria regulado en las Leyes citadas no es la alegada en el recurso. No pretenden estas Leyes estatales reducir el coste de la reestructuración bancaria mediante la venta por la SAREB de sus activos inmobiliarios al mayor precio posible sino garantizar la viabilidad a largo plazo del sector financiero español en ejecución del memorando de entendimiento de 2012. Tampoco quedan acreditados los datos en que se basa el recurso con los documentos aportados, por lo que debe desestimarse esta pretensión (STC 104/2000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mayor abundamiento, las disposiciones impugnadas no tienen eficacia incisiva sobre la política económica general o la reestructuración bancaria y los datos aportados en el recurso (sobre la crisis financiera en los años 2008, 2009 y 2012) están desfasados. En concreto, el mecanismo expropiatorio recurrido no contradice la política económica estatal como lo demuestra el hecho de que, en el Decreto-ley 27/2012 y la Ley 1/2013, el Estado adoptara medidas con efectos similares. Los efectos de este mecanismo son muy limitados, pues la expropiación solo se aplica a las ejecuciones hipotecarias que cumplen los requisitos fijados. También parten de un escenario irreal los datos sobre multas que habría de pagar la SAREB a partir de la infracción tipificada en el artículo 53.1 a) de la Ley 1/2010, redactado por la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1.3 de la Ley 1/2010 (redactado por la Ley 4/2013) no vulnera el contenido esencial del derecho de propiedad del artículo 53 CE, al que no se refiere. Solo pretende delimitar el contenido del derecho de propiedad de la vivienda de acuerdo con su función social ex artículo 33.2 CE, conforme a la doctrina constitucional (SSTC 37/1987, 89/1994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incorporación al contenido del derecho de propiedad de la vivienda del deber de destinarla al uso habitacional no solo está amparada en la Constitución sino que es una exigencia de ésta (arts. 47 CE y 25 EAAnd), especialmente en un contexto en que miles de andaluces están en riesgo de exclusión social por la imposibilidad de acceder a una vivienda. El carácter instrumental de la vivienda como soporte físico del domicilio personal conlleva que el deber de uso habitacional impugnado sea también una exigencia de la Declaración universal de derechos humanos y de otros preceptos constitucionales (arts. 39, 43 CE) en relación con el artículo 10.3.14 EAAnd, que impone a los poderes autonómicos el objetivo de lograr la cohesión social y superar la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Constitucional ha reconocido la necesidad de incorporar los principios constitucionales a la definición del contenido del derecho de propiedad inmobiliaria (SSTC 37/1987 y 89/1994). El mismo legislador estatal (art. 3.1 del texto refundido Ley de suelo) admite las restricciones al derecho de propiedad conforme a su función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es trasladable a los artículos 53.1 a) y 25.6 de la Ley 1/2010, redactados por la Ley 4/2013, impugnados por el mismo motivo, cuya finalidad es garantizar el cumplimiento por las personas jurídicas del deber establecido en el artículo 1.3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Tampoco vulneran los preceptos recurridos, al establecer el deber de uso habitacional de las viviendas, el principio de proporcionalidad. Esta alegación no se fundamenta mínimamente. Dada la libertad de configuración normativa del legislador autonómico para garantizar el cumplimiento de la función social de la vivienda, la mera discrepancia con la medida es irrelevante a efectos de su proporcionalidad. El Tribunal ha reiterado (SSTC 96/2002 y otras) que el recurso de inconstitucionalidad no es sede adecuada para juzgar la bondad u oportunidad política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 de proporcionalidad, en buena técnica jurídica, exige contrastar los preceptos recurridos con el contenido esencial del derecho de propiedad, que exige el equilibrio entre su utilidad individual y su función social (STC 37/1987). Este equilibrio se respeta, pues los artículos impugnados no eliminan las facultades de decisión del propietario en relación al destino o aprovechamiento de la vivienda, imponiéndole el uso habitacional con exclusión de cualquier otro (en contra de lo que afirma el Consejo de Estado), ni le privan de su poder de disposición, lo que preserva la recognoscibilidad del derecho. Aunque el artículo 1.3 de la Ley 1/2010, restrinja las facultades de decisión del propietario, el deber de uso habitacional solo se impone cuando está expresamente previsto, según el concepto de vivienda deshabitada del artículo 25.1; cuando el uso residencial esté contemplado en el planeamiento urbanístico y la edificación tenga las correspondientes licencias. Incluso en estos casos, no se impiden otros posibles usos de las viviendas, pues el artículo 25.4 excluye del ámbito de aplicación una serie de edificaciones.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4/2013 solo limita la facultad del propietario de mantener la vivienda desocupada o sin uso. Preserva sus facultades de goce y disposición, incluso en casos de incumplimiento del deber de uso habitacional (aunque, para las personas jurídicas, se establezcan sanciones que no son confiscatorias y que, en todo caso, son subsidiarias). Por tanto, no se desnaturaliza el derecho de propiedad del artículo 33 CE en el sentido de la doctrina constitucional (STC 204/2004).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artículos 1.3, 25.6 y 53.1 a) de la Ley 1/2010 tampoco invaden la competencia estatal sobre legislación civil (art. 149.1.8 CE). La alegación parte de afirmar, como en el apartado anterior, que estos preceptos regulan el contenido esencial del derecho de propiedad, lo que ya se ha rechazado. Se reitera que la regulación impugnada se limita a delimitar el contenido del derecho de propiedad de la vivienda de acuerdo con su función social. Es aplicable la doctrina de la STC 37/1987 (FFJJ 8 y 9), reiterada en la STC 227/1988, según la cual la delimitación del contenido de la propiedad privada de acuerdo con su función social se fija por las leyes sectoriales en el ámbito material correspondiente, que en este caso es de competencia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argumentos del recurso sobre la supuesta lesión del artículo 149.1.1 CE llevan a la negación misma de la competencia exclusiva de Andalucía en materia de vivienda y chocan frontalmente con la configuración constitucional de la propiedad privada y la doctrina constitucional. Para rebatirlos, basta acudir a las SSTC 37/1987 y 61/1997 que, como se ha dicho, atribuyen a quien tiene las competencias sectoriales la regulación de las limitaciones y deberes inherentes a la función social de cada tipo de propiedad, a lo que se añade que la potestad sancionadora es instrumental de la competencia material sustantiva (STC 34/2013).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con base en el artículo 149.1.1 CE, el Estado puede limitar las competencias autonómicas en materia de vivienda, esas limitaciones no son las que expone el recurso. Este título no puede utilizarse para regular la función social de la propiedad en los distintos ámbitos de la realidad social que se proyectan sobre el contenido de este derecho; ni faculta al Estado para establecer una regulación uniforme del derecho de propiedad (STC 61/1997). Según esta doctrina, aunque el Estado tenga competencia para dictar las condiciones básicas que garanticen la igualdad, el régimen jurídico del derecho de propiedad ha de ser establecido por el legislador competente según el orden constitucional (en este caso, el autonómico), sin perjuicio del necesario respeto a las condiciones básicas, siempre que hayan sido fijadas por el Estado. Si, como ocurre ahora, el Estado no las ha establecido, la consecuencia no puede ser la exclusión de la competencia autonómica sino la ampliación del margen de configuración normativa del legislador autonómico. Ya la STC 37/1987 admitió que la función social de la propiedad puede variar en función de las características de los bienes, su localización y las condiciones económicas o sociales de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Los artículos 25 y 53.1 a) de la Ley 1/2010 (en la redacción de la Ley 4/2013) no vulneran los artículos 14, 25 y 149.1.18 CE como esgrime el recurrente. Cuando el artículo 53.1 a) tipifica como infracción el incumplimiento del deber de uso habitacional por los propietarios personas jurídicas remitiéndose a los supuestos, enumerados en el artículo 25, en que se presume que las viviendas están deshabitadas, se limita a definir una infracción administrativa, predeterminando con el suficiente grado de certeza la conducta sancionable. Se da así cumplimiento a los principios de legalidad y tipicidad del artículo 25 CE y no se vulnera la presunción de inocencia cuyo ámbito (STC 76/1990) no es la definición del ilícito administrativo sino el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procedimiento sancionador articulado en la ley recurrida no hay una inversión de la carga de la prueba, ni resulta esta de los preceptos impugnados que se han de interpretar conjuntamente con el resto de la Ley 1/2010, de cuyos artículos no impugnados resulta que el ejercicio de la potestad sancionadora va precedido de la declaración de vivienda deshabitada, tras la instrucción de un procedimiento contradictorio en cuyo acuerdo de iniciación la Administración ha de especificar los indicios de no habitación (art. 35 de la Ley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empleo por el artículo 25 de la Ley 1/2010 de indicios o presunciones para acotar el concepto de vivienda deshabitada no vulnera la presunción de inocencia. La prueba de presunciones es válida en derecho y se admite por la doctrina constitucional siempre que exista un engarce racional entre los hechos acreditados y los presumidos (STC 76/1990), lo que el recurso no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Para fundar la alegada vulneración del principio de culpabilidad, el recurso se limita a afirmar que las personas jurídicas no tienen un poder de disposición absoluto sobre la ocupación de sus viviendas. Sin embargo, el artículo 53.1 a) recurrido no establece un sistema de responsabilidad objetiva. El principio de culpabilidad, como principio estructural del derecho punitivo, se aplica aunque la tipificación de las infracciones no aluda al elemento culposo (STC 76/1990). La Ley 30/1992, básica estatal, ya establece esta exigencia, que resulta también del artículo 54 de la Ley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artículo 53.1 a) no discrimina a las personas jurídicas ni lesiona los artículos 14 y 9.3 CE. La argumentación del recurso en este punto es escasa. En todo caso, el principio de igualdad permite introducir diferencias entre supuestos de hecho potencialmente equiparables si existe una justificación objetiva y razonable (SSTC 59/2008 y 76/2008). En este supuesto existe la justificación objetiva pues el fin de la Ley 4/2013, como resulta de su exposición de motivos, es la puesta en el mercado del gran parque de viviendas vacías que existe en Andalucía para potenciar el acceso a la vivienda, para lo que, al centrarse en las personas jurídicas, la Ley tiene en cuenta que las grandes bolsas de viviendas vacías están en poder de éstas y no de las personas físicas. La infracción del artículo 53.1 a) de la Ley pretende garantizar esta finalidad y, por tanto, que las personas jurídicas cumplan el deber de sacar a la venta o arrendar sus viviendas mientras que, en el caso de las personas físicas, se utilizan instrumentos menos restrictivos, como las medidas de fomento del alquiler (art. 36) que se circunscriben a estas últimas dada la limitación de recursos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proporcionalidad y racionalidad de la medida se aprecia igualmente en la escasa entidad de la sanción prevista y en que la potestad sancionadora solo se ejerce en el marco de los planes de inspección (art. 27), de forma que la infracción del artículo 53.1 a) solo se sancionará en los casos de los artículos 50 y 51, es decir, cuando el cumplimiento de la función social de la vivienda resulte necesario para garantizar la efectividad del derecho del artículo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disposición adicional primera de la Ley 4/2013, en contra de lo que afirma el recurso, no discrimina sin fundamento a las entidades financieras y sus filiales inmobiliarias o entidades de gestión de activos frente a otras personas jurídicas. La expropiación contemplada en esta disposición no responde al concepto de expropiación-sanción de la Ley de expropiación forzosa, ni es una delimitación del contenido del derecho de propiedad de acuerdo con su función social que deba ser aplicada por igual a todos los propietarios. Es un supuesto de expropiación forzosa por causa de interés social del artículo 33 CE. Así lo reconoce el dictamen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ni el artículo 14 CE ni ningún otro precepto constitucional, impiden que el legislador determine que el derecho de uso expropiado sea el que recae sobre la vivienda del deudor desahuciado, cuando es adquirida por el acreedor hipotecario o sus filiales al ejecutar su derecho de garantía, que es lo que hace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artículo 33 CE, lo que caracteriza a la expropiación forzosa, frente a las limitaciones del dominio por causa de su función social que se aplican a todos por igual, es precisamente la quiebra del principio de igualdad, pues la expropiación implica por definición una privación singular del derecho. Así lo ha entendido el Tribunal (STC 204/2004).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medida no es desproporcionada ni arbitraria dado el fin perseguido con ella que es evitar el desahucio de sus viviendas habituales de las personas que pierden su propiedad por falta de medios económicos para hacer frente a sus hipotecas.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alegación de vulneración de los apartados sexto, undécimo, decimotercero, decimoctavo y primero del artículo 149.1 CE que realiza el recurso en este punto, su nula fundamentación imposibilita la contestación a la misma y debiera determinar su desestimación según la doctrina constitucional (STC 118/1998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repercusiones de esta medida sobre el sector inmobiliario, se dan por reproducidas las alegaciones anteriores al respecto. Sobre las dificultades que la medida supone para la ejecución hipotecaria, ni siquiera se mencionan y, en todo caso, la misma no incide sobre el procedimiento de ejecución hipotecaria ni sobre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 Estando próximo a finalizar el plazo de cinco meses que señala el artículo 161.2 CE desde que se produjo la suspensión de los preceptos impugnados, mediante providencia de 27 de febrero de 2014, el Pleno del Tribunal acordó dar traslado a las partes personadas, por cinco días, para alegaciones sobre la conveniencia de mantener o levantar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Evacuados los traslados conferidos, mediante ATC 115/2014, de 8 de abril, el Pleno del Tribunal acordó mantener la suspensión del artículo 1 y de la disposición adicional primera de la Ley 4/2013, de 1 de octubre, de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solicitarse por la Junta de Andalucía, en noviembre de 2014, el levantamiento de la suspensión acordada en el ATC 115/2014, por cambio de las circunstancias, oídas las partes, el Pleno del Tribunal, mediante ATC 32/2015, de 17 de febrero, acordó su mantenimiento.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abril de 2018, se señaló para deliberación y votación de la presente Sentencia el día 12 de ese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el Presidente del Gobierno contra el artículo 1 de la Ley del Parlamento de Andalucía 4/2013, de 1 de octubre, de medidas para asegurar el cumplimiento de la función social de la vivienda (Ley 4/2013), por el que se dio nueva redacción al artículo 1.3 y se introdujeron los artículos 25 y 53.1.a) en la Ley 1/2010, de 8 de marzo, reguladora del derecho a la vivienda en Andalucía (Ley 1/2010) y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del Estado recurrente, en los términos ya indicados, esgrime distintos motivos de inconstitucionalidad que cabe ahora agrupar como sigue. En general, considera que todos los preceptos impugnados de la Ley 4/2013 y, en concreto, la disposición adicional primera, vulneran la competencia estatal del artículo 149.1.13 CE, en cuanto inciden sobre la política económica del Gobierno para la reestructuración y estabilidad del sistema financiero. En particular, afirma que el deber de uso habitacional de las viviendas como parte del contenido esencial del derecho de propiedad de éstas, regulado en el artículo 1.3 de la Ley 1/2010, modificado por la Ley 4/2013 y, por conexión en los artículos 25 y 53.1 a), es desproporcionado e invade las competencias estatales del artículo 149.1.1 y 8 CE, en relación con el artículo 33 CE. En cuanto a la consecuencia sancionadora que se asocia al incumplimiento de dicho deber por las personas jurídicas, entiende que vulnera los artículos 24 y 25 CE, al tipificarse como infracción el incumplimiento del deber de uso habitacional en base a meros indicios y sin culpabilidad, así como los artículos 14 y 9.3 CE, en los términos ya señalados. Finalmente, considera también arbitraria la disposición adicional primera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Letradas del Gobierno y del Parlamento andaluces, por su parte, del modo que consta en los antecedentes, se oponen a los motivos impugnatorios que sustentan el recurso a partir de la competencia exclusiva autonómica en materia de vivienda (art. 56 del Estatuto de Autonomía para Andalucía: EAAnd). En consecuencia, solicitan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del asunto, interesa hacer ciertas precisiones sobre la incidencia en el presente recurso de algunas modificaciones legislativas posteriores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si bien la Ley 3/2016, de 9 de junio, para la protección de los derechos de las personas consumidoras y usuarias en la contratación de préstamos y créditos hipotecarios sobre la vivienda, de la Comunidad Autónoma de Andalucía, ha añadido una disposición adicional séptima a la Ley 1/2010, en virtud de la cual se crea el sistema andaluz de información y asesoramiento integral en materia de desahucios, como instrumento de información y asesoramiento, dicha disposición no afecta a ninguno de los preceptos impugnados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hemos de referirnos a los cambios en la normativa estatal invocada por el recurrente para fundar la invasión competencial que afirma en relación con el artículo 149.1.13 CE, por supuesta interferencia de los preceptos impugnados sobre la política económica del Gobierno en relación con la reestructuración del sistema financiero y la estabilidad de las entidades de crédito. La demanda se refiere particularmente, en el sentido apuntado, a la regulación estatal de la sociedad de gestión de activos procedentes de entidades de crédito sujetas a procesos de reestructuración (SAREB) contenida en las Leyes 8/2012, de 30 de octubre, de saneamiento y venta de los activos inmobiliarios del sector financiero, y 9/2012, de 14 de noviembre, de reestructuración y resolución de entidades de crédito, en concreto, en todo lo relativo al traspaso a dicha entidad de los activos problemáticos de los bancos vinculados a su actividad inmobiliaria como medida de saneamiento del sector. Alude también, si bien de forma genérica, a las medidas estatales que prevén la suspensión de lanzamientos durante un plazo de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de acuerdo con la doctrina constitucional acerca del ius superveniens en los recursos de inconstitucionalidad (STC 5/2015, de 22 de enero, citada en la STC 16/2018, de 22 de febrero, FJ 2), la normativa estatal que tendremos presente en relación con la esgrimida lesión del artículo 149.1.13 CE, en lugar de la citada Ley 9/2012, será la Ley 11/2015, de 18 de junio, de recuperación y resolución de entidades de crédito y empresas de servicios de inversión, que derogó a la anterior, si bien precisando que dicha derogación no afectó, entre otras, a la disposición adicional séptima de la Ley 9/2012, de creación de la SAREB. También se tendrá en cuenta, en la medida que sea necesario, que el apartado 10 c) de dicha disposición adicional séptima fue modificado por el artículo 2 del Real Decreto-ley 4/2016, de 2 de diciembre, de medidas urgentes en materia financiera. Asimismo, en relación con las medidas estatales de suspensión de lanzamientos a las que alude la demanda, habremos de estar al artículo 1 de la Ley 1/2013, de 14 de mayo, de medidas para reforzar la protección a los deudores hipotecarios, reestructuración de deuda y alquiler social, modificada en parte por el Real Decreto-ley 1/2015, de 27 de febrero, de mecanismo de segunda oportunidad, reducción de carga financiera y otras medidas de orden social (convertido después en la Ley 25/2015, de 28 de julio) y, últimamente, en particular su artículo 1, por el Real Decreto-ley 5/2017,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también necesario hacer ciertas consideraciones preliminares sobre la incidencia que en este recurso tiene la STC 93/2015, de 14 de mayo. En ésta, resolvimos la impugnación del Decreto-ley de la Junta de Andalucía 6/2013, de 9 de abril, que constituye el precedente de la Ley 4/2013, ahora enjuiciada. En concreto, la Ley 4/2013 derogó el citado Decreto-ley, al tiempo que sustituyó sus preceptos por otros que, como ya se apuntaba en la citada STC 93/2015 (FJ 2): “o bien son idénticos en su redacción y en su numeración [artículos 1.3, 25 y 53.1 a)] o bien han cambiado de un modo intranscendente al efecto de la controversia competencial suscitada en el recurso”. También explicamos en este mismo fundamento jurídico que “la disposición adicional segunda pasa a ser en la Ley 4/2013 la disposición adicional primera, pero solo cambia para definir de un modo más amplio el interés social que justifica la expropiación del uso de la vivienda objeto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93/2015, declaramos la inconstitucionalidad del primer inciso del artículo 1.3 (“forma parte del contenido esencial del derecho de propiedad de la vivienda el deber de destinar de forma efectiva el bien al uso habitacional previsto por el ordenamiento jurídico”); de los apartados quinto y sexto del artículo 25 y del artículo 53.1 a) de la Ley 1/2010, de 8 de marzo, reguladora del derecho a la vivienda en Andalucía, en la redacción aprobada por el artículo 1 del Decreto-ley 6/2013, de 9 de abril, de medidas para asegurar el cumplimiento de la función social de la vivienda; así como la inconstitucionalidad y nulidad de la disposición adicional segunda de dicho Decreto-ley 6/2013. En la misma sentencia declaramos la conformidad con la Constitución del resto del artículo 25 de la Ley 1/2010, en la redacción dada por el artículo 1 del Decreto-ley 6/2013, interpretado como instrumento de la política autonómica de fomento de la vivienda en alquiler, en los términos de los fundamentos jurídicos 13 a 15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todos los preceptos anulados por la STC 93/2015 lo fueron por la misma razón. Así, si los artículos 1.3; 25, apartados quinto y sexto; y 53.1 a) de la Ley 1/2010, redactados por el Decreto-ley 6/2013, fueron declarados inconstitucionales en dicha sentencia, fue porque este Tribunal consideró que, al darles nueva redacción en el Decreto-ley citado, el Gobierno andaluz excedió los límites materiales de las normas de esta naturaleza, puesto que introdujo un deber de uso habitacional como parte del contenido esencial del derecho de propiedad sobre la vivienda, que no es posible establecer mediante una disposición legislativa de urgencia. Por esta razón, la STC 93/2015 no entró a examinar, en cuanto a estos preceptos, las vulneraciones competenciales y de otra índole que alegaba el recurrente y que coinciden con las esgrimidas ahora en relación con la Ley 4/2013. En cambio, la declaración de inconstitucionalidad de la disposición adicional segunda del Decreto-ley 6/2013 tuvo lugar en cuanto que la STC 93/2015 apreció en la misma una invasión de la competencia estatal del artículo 149.1.13 CE en materia de ordenación económica, muy similar a la que ahora se esgrime en relación con la disposición adicional primera de la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es que la STC 93/2015 no puede servirnos de base para resolver el presente recurso, en lo que respecta a los artículos 1.3; 25, apartados quinto y sexto y 53.1 a) de la Ley 1/2010, modificados por la Ley 4/2013. Evidentemente, esta última, al ser una ley formal, no puede incurrir en el vicio de inconstitucionalidad que allí apreciamos. En cambio, cabe ya anticipar que la STC 93/2015 será determinante de la decisión que adoptaremos sobre la disposición adicional primera de la Ley 4/2013, extremo este sobre el que volveremos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Adicionalmente a lo expuesto en el anterior fundamento jurídico, hemos de tener asimismo muy en cuenta, al resolver el presente debate, la reciente STC 16/2018, de 22 de febrero, dictada en el recurso de inconstitucionalidad 6036-2013, en relación con varios preceptos de la Ley Foral 10/2010, de 10 de mayo, del derecho a la vivienda de Navarra, en redacción dada a los mismos por la Ley Foral 24/2013, de 2 de julio, de medidas urgentes para garantizar el derecho a la vivienda de Navarra. La STC 16/2018 es relevante en cuanto que los preceptos de la ley navarra en ella enjuiciados son muy similares a los que ahora nos ocupan, al igual que eran también muy parecidos los argumentos que en aquel recurso esgrimió el Presidente del Gobierno, que también allí era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16/2018 hemos declarado inconstitucionales los apartados primero y segundo de la disposición adicional décima de la Ley Foral 10/2010, de derecho a la vivienda en Navarra, añadida por la Ley Foral 24/2013, y hemos desestimado el recurso en todo lo demás. Esta sentencia se basa a su vez, en lo que a la disposición adicional décima anulada en parte respecta, en la precitada STC 93/2015, dada la similitud entre dicha disposición y la andaluza introducida por el Decreto-ley 6/2013 y, por tanto, entre la disposición navarra y la andaluza introducida en la Ley 4/2013 que es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todo lo dicho podemos ya abordar los distintos motivos de impugnación esgrimidos frente a los preceptos recurridos de la Ley andaluza 4/2013, lo que haremos siguiendo el orden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el análisis por la disposición adicional primera de la Ley 4/2013, como ya se ha adelantado, en su enjuiciamiento hemos necesariamente de partir de la STC 93/2015, en la que declaramos la inconstitucionalidad de la anterior disposición adicional segunda del Decreto-ley 6/2013, prácticamente idéntica a la que ahora analizamos, por menoscabo de las medidas de política económica adoptadas por el Estado ex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aquella sentencia razonamos que la medida autonómica (recogida ahora en la disposición adicional primera de la Ley 4/2013), consistente en la expropiación del uso de la vivienda objeto de un procedimiento de ejecución, por un plazo máximo de tres años a contar desde el lanzamiento acordado por el órgano judicial, difiere sustancialmente y resulta incompatible con las medidas adoptadas por el Estado (en ejercicio de su competencia ex artículo 149.1.13 CE y con incidencia significativa sobre la actividad económica general) para atender a las mismas necesidades. Estas medidas eran las inicialmente incluidas en la Ley 1/2013, de 14 de mayo, de medidas para reforzar la protección de los deudores hipotecarios, reestructuración de deuda y alquiler social, luego modificada en parte por el Real Decreto-ley 1/2015, de 27 de febrero, de mecanismo de segunda oportunidad, reducción de carga financiera y otras medidas de orden social. Consistían, en esencia, en la suspensión durante cuatro años de los lanzamientos cuando las viviendas habituales de personas en supuestos de especial vulnerabilidad se hubiesen adjudicado al acreedor en procesos judiciales o extrajudiciales de ejecución hipotecaria y en la promoción de un fondo social de viviendas propiedad de entidades de crédito, destinadas a ofrecer cobertura a personas desalojadas de su vivienda habitual por el impago de un préstamo hipotecario en determinados casos. Partiendo de estas medidas y de la regulación de la disposición adicional segunda del Decreto-ley andaluz 6/2013, en la STC 93/2015, FJ 18, llegamos a la conclusión de que dicha norma autonómica “aborda la misma situación de necesidad que la normativa estatal reseñada, pero lo hace mediante una regulación que, lejos de consistir en una mera modificación o corrección de técnica jurídica respecto de la solución arbitrada por ésta, responde a un principio incompatible”. Y a ello añadimos la virtualidad de la normativa autonómica enjuiciada para menoscabar las referidas medidas de política económica estatales por romper “el carácter coherente de la acción pública en esta materia”, orientada a la consecución de dos objetivos simultáneos consistentes en “actuar sobre el sistema de ejecución hipotecaria para dar cobertura a las necesidades sociales de vivienda y, al mismo tiempo, que con ello no se perturbe significativamente el funcionamiento de los mercados hipotecarios”. A lo que, finalmente, añadíamos que “también resulta relevante que la concurrencia de figuras jurídicas dispares sobre una misma realidad —la suspensión del lanzamiento en la norma estatal y la expropiación de uso en la autonómica— hace difícil la aplicación conjunta de ambas disposiciones, principalmente a la hora de decidir si su eficacia es simultánea o sucesiva. Entender lo primero, a pesar de que a ello induce la dicción del precepto al señalar que el plazo máximo de tres años que puede alcanzar la expropiación del uso se cuenta ‘desde la fecha del lanzamiento acordado por el órgano jurisdiccional competente’, no parece posible porque no se trata de medidas compatibles en el sentido de que puedan operar a un mismo tiempo. Entender lo segundo, aparte de hacer necesario definir qué norma es la prioritaria, anula en la práctica la virtualidad de una de ellas, que queda postergada en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la citada STC 16/2018, FJ 12, al analizar la análoga disposición adicional décima de la antes mencionada Ley navarra de vivienda, no solo reiteramos la valoración realizada en la STC 93/2015; también, analizamos la continuidad en el tiempo de las aludidas medidas estatales, prorrogadas por el Real Decreto-ley 5/2017, de 17 de marzo, que dio nueva redacción a los apartados primero y segundo del artículo 1 de la Ley 1/2013, para ampliar el ámbito temporal (apartado primero) y los supuestos de especial vulnerabilidad objeto de protección (apartado segundo). Junto a ello, mencionábamos la disposición final cuarta de la Ley 9/2015, de 25 de mayo, por la que se mantuvo vigente, con ciertas extensiones objetivas y subjetivas, el fondo social de viviendas regulado en la Ley 1/2013. Y, por todo ello, concluimos declarando la vigencia de las consideraciones de la STC 93/2015, tanto en relación con el carácter básico de las normas estatales, como expresión de una política homogénea del Estado en la regulación del mercado hipotecario y la protección de sus deudores, como en cuanto a la distorsión que sobre esa política suponen las normas autonómicas que (como la de la Ley navarra y la ahora examinada) establecen medidas adicionales, incluso cuando (como en el caso de la Ley navarra) se trata de medidas de aplicación sucesiva (STC 16/2018,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todo lo expuesto, la disposición adicional primera de la Ley andaluza 4/2013 supone, igual que ocurría con la disposición adicional segunda del Decreto-ley andaluz 6/2013 y como también hemos entendido en relación con la disposición similar de la normativa autonómica navarra (STC 16/2018, FJ 13), “un uso de la competencia autonómica en materia de vivienda que, al interferir de un modo significativo en el ejercicio legítimo que el Estado hace de sus competencias (art. 149.1.13 CE) menoscaba la plena efectividad de dicha competencia estatal”, determinando, en consecuencia,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estimar el recurso en este punto, lo que hace innecesario examinar el motivo de inconstitucionalidad adicional que se esgrime en la demanda en relación con esta misma disposición adicional primera de la Ley 4/2013 ya anulada, a la que también se imputa arbitrariedad por restringir de manera arbitraria, a juicio del recurrente, su ámbito de aplicación a las “entidades financieras, sus filiales inmobiliarias o sus entidades de gestión de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cambio, no podemos apreciar una interferencia significativa equivalente a la estimada en el anterior fundamento, en relación con el resto de preceptos recurridos de la Ley andaluza 4/2013. En primer lugar, el artículo 1 de esta Ley modifica el artículo 1 de la Ley 1/2010, del derecho a la vivienda en Andalucía, para incluir, como parte del contenido esencial del derecho de propiedad de la vivienda, el deber de destinar ésta, de forma efectiva, al uso habitacional previsto en el ordenamiento. Por otra parte, la Ley 4/2013 incluye en la Ley 1/2010, además de otros preceptos no impugnados, el artículo 25, que define las viviendas deshabitadas, y el artículo 53.1 a), que tipifica como infracción muy grave, en los términos del artículo 25, no dar efectiva habitación a la vivienda, siempre que su titular sea una persona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16/2018, ya dijimos (FJ 14) que las medidas de reestructuración del sistema financiero adoptadas por el Estado, entre ellas las de las leyes 8/2012 y 9/2012, “constituyen un legítimo ejercicio de la competencia que atribuye el artículo 149.1.13 CE al Estado”. También expusimos en detalle en esa STC, FJ 15, el contenido de dichas normas estatales y, recapitulando, dijimos que aquellas normas preveían “en síntesis, dos medidas: a) para fortalecer la solvencia de las entidades de crédito dispone su obligación de constituir ciertas coberturas respecto de las financiaciones inmobiliarias de riesgo normal y la obligación de excluir de sus balances el resto de activos inmobiliarios (los que tuvieren clasificación distinta de riesgo normal), aportándolos a una sociedad gestora encargada de su desinversión; b) se constituye la SAREB, con una participación estatal del 45 por 100 para realizar ese proceso de desinversión de modo óptimo”.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en el fundamento jurídico 16 A) de la STC 16/2018, descartamos la interferencia significativa en las medidas descritas de, entre otros allí recurridos, los artículos 42 bis y 66.1 de la Ley navarra de viviendas, que definen las viviendas deshabitadas y tipifican como infracción muy grave el incumplimiento por las personas jurídicas del deber de uso habitacional, de manera muy semejante a los artículos 25 y 53.1 a) de la Ley andaluza 1/2010, introducidos por la Ley andaluza 4/2013. En cuanto al artículo 42 bis de la Ley navarra, en la STC 16/2018 dijimos que tanto éste como los preceptos sucesivos de esa Ley (arts. 42 ter a 42 sexies) se enmarcan en actuaciones de fomento de la Comunidad Autónoma para promover el uso social de las viviendas y, al no incorporar un deber de habitación de los propietarios de viviendas, ni conectarse con las consecuencias gravosas (entre ellas, la sancionadora) previstas en la Ley, “no suponen de ninguna manera una interferencia significativa en el logro del objetivo de política económica que persigue el Estado con tales medidas”. Esta misma conclusión es trasladable al artículo 25 de la Ley andaluza 1/2010, introducido por la Ley 4/2013, que , dentro de un título VI introducido en la primera Ley, con la rúbrica “De los instrumentos para evitar la existencia de viviendas deshabitadas”, se limita, igual que el artículo 42 bis de la Ley navarra, a definir estas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1.3 de la Ley 1/2010, modificado por la Ley 4/2013, no cabe negar que éste recoge expresamente un deber de destinar las viviendas de forma efectiva al uso habitacional previsto en el ordenamiento jurídico que, dice, forman parte del contenido esencial del derecho de propiedad de la vivienda. No obstante, como razonamos en la STC 16/2018, FJ 16 B), refiriéndonos a los preceptos de la Ley navarra que establecen un deber similar, “resulta claro que el deber de todo propietario de vivienda de destinarla efectivamente a uso habitacional… no tiene virtualidad por sí solo para producir el menoscabo que nos ocupa”, pues “serán en todo caso las consecuencias que se asocien al incumplimiento de ese deber, las que, si revisten la suficiente entidad, pueden generarlo”.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consecuencia impugnada que la Ley andaluza 4/2013 asocia al incumplimiento del deber de uso habitacional es la infracción muy grave tipificada en el artículo 53.1 a) de la Ley andaluza 1/2010, introducido por la Ley 4/2013. Respecto a ésta, como dijimos en relación a su correlativo navarro en la STC 16/2018, FJ 16 C), “[d]ebe reconocerse, por tanto, que la reacción sancionadora prevista en el art. 66.1 es apta para producir una cierta incidencia negativa en la solvencia de las entidades de crédito porque reduce el valor de sus activos inmobiliarios [y]… con seguridad también generará algún efecto peyorativo en el proceso de desinversión de la SAREB”. Sin embargo, como continuábamos en dicha STC, en esencia, “el mayor o menor valor de tales activos inmobiliarios dependerá de toda una serie de factores económicos y no solo de la reacción sancionadora”. Y, teniendo en cuenta igualmente la reducida cuantía de los activos afectados y la ausencia de datos reales aportados con la demanda, que, como en aquel caso también en este ofrece únicamente previsiones, procede asimismo concluir ahora que no hay una base cierta para afirmar que la norma contenida en el artículo 53.1 a) de la Ley 1/2010, introducida por la Ley 4/2013, dictada por la Comunidad Autónoma de Andalucía en ejercicio de su competencia en materia de vivienda, interfiera de un modo significativo en la efectividad de las medidas estatales de política económica que estamos considerando.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procede desestimar este motivo de recurso al no apreciar el Tribunal que los artículos 1.3, 25 y 53.1 a) de la Ley 1/2010, redactados por la Ley andaluza 4/2013, interfieran de modo significativo en la política económica del Estado, diseñada al amparo del artículo 149.1.13 CE, contenida en las normas invocadas por el recurrente a las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la infracción del artículo 149.1.13 CE, que se esgrime en el recurso como lesión principal, la parte actora aduce motivos de inconstitucionalidad adicionales, referidos a los artículos 1.3, 25 y 53.1 a) de la Ley 1/2010, en la redacción dada por el artículo 1 de la Ley 4/2013. El primero de ellos, se refiere al artículo 1.3 de la Ley 1/2010, en cuanto establece, como ya se ha dicho, que forma parte del contenido esencial del derecho de propiedad de la vivienda el deber de destinar de forma efectiva el bien al uso habitacional previsto por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de forma similar a lo que ya decidimos en la STC 93/2015, FJ 13, al enjuiciar el mismo artículo 1.3 de la Ley 1/2010, en la redacción del Decreto-ley 6/2013, procede también ahora excluir de nuestro enjuiciamiento el último inciso del precepto (“así como mantener, conservar y rehabilitar la vivienda con los límites y condiciones que así establezca el planeamiento y la legislación urbanística”), pues “el Abogado del Estado, a pesar de dirigir la impugnación contra todo el precepto, ningún razonamiento destina a sostener la inconstitucionalidad de esta parte [por todas, STC 22/2012, de 16 de febrero,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destacado anteriormente, en la STC 93/2015 se analizó el contenido del referido artículo 1.3 de la Ley 1/2010, redactado por la Ley 4/2013, desde la perspectiva de los límites materiales del decreto-ley. A esos efectos, se afirmó que la concreta previsión impugnada “concurre a establecer el régimen general del derecho de propiedad de la vivienda y dentro de él uno de sus elementos esenciales, lo que, por implicar ‘afectación’ del mismo en el sentido que a este concepto le atribuye la doctrina constitucional, está vedado a esta modalidad de disposición con fuerza de ley. Esta conclusión no significa que la configuración constitucional del derecho de propiedad impida al legislador restringir de ese modo la amplitud de las facultades de uso y disposición del propietario de la vivienda, análisis que no procede desarrollar en este momento, sino que el precepto impugnado disciplina un espacio normativo vedado al decreto-ley y reservado a la ley formal, por lo que es inconstitucional y nulo por contravenir uno de los límites materiales del decreto-ley” (FJ 13). Por tanto, tomando como base esta constatación, una vez que dicho precepto ya ha sido aprobado mediante ley formal, resulta ahora necesario analizar si la concreta previsión contenida en el precepto impugnado —“[f]orma parte del contenido esencial del derecho de propiedad de la vivienda el deber de destinar de forma efectiva el bien al uso habitacional previsto por el ordenamiento jurídico”— supone una restricción de las facultades de uso y disposición del propietario de viviendas vedada por la configuración constitucional del derecho de propiedad al afectar a su contenido esencial indisponible para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es preciso traer a colación lo afirmado en la STC 16/2018, FJ 5, en relación con el reproche de inconstitucionalidad que, desde esta misma perspectiva, fue dirigido contra la legislación de la vivienda de Navarra, en la comprensión de que el artículo 42 bis.2 de la Ley Foral 10/2010 establecía el deber del destino efectivo de la vivienda al uso residencial como contenido esencial del derecho a la propiedad de viviendas. En esa Sentencia ya se afirmó que este tipo de previsiones autonómicas en que se establece el deber de destinar la vivienda de un modo efectivo a habitación, en la medida en que en el contexto normativo en que se inserta no se configura como real deber del propietario, sino como un objetivo que persigue el poder público mediante su política de vivienda, no puede afirmarse que forme parte del contenido esencial de ese tipo de derecho de propiedad. En el presente caso, tomando en consideración el contexto normativo en que se incluye la expresa mención que el artículo 1.3 hace a que ese deber “forma parte del contenido esencial del derecho a la propiedad” y, especialmente, teniendo en cuenta que también se afirma que dicho deber forma parte de ese contenido esencial en la medida en que está previsto en el ordenamiento jurídico, hay que deducir que ello no implica una regulación que imponga ese deber como configurador del real contenido esencial de aquel derecho. Desde esa comprensión, y así interpretado el contenido del artículo 1.3 impugnado, no cabe considerar que suponga una innovación del contenido esencial del derecho de propiedad de las viviendas sitas en la Comunidad Autónoma de Andalucía, configurado en el artículo 33 CE, tal como reprocha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infracción del principio de proporcionalidad esgrimida, cabe ya desde ahora adelantar que procede su desestimación por los mismos motivos que desestimamos una lesión muy parecida, denunciada también por el representante del Gobierno de la Nación en relación con la Ley navarra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17 de la tantas veces citada STC 16/2018 argumentamos lo siguiente: “A diferencia de lo sostenido en la demanda, este Tribunal aprecia que el legislador del derecho de propiedad, aparte del necesario respeto a su contenido esencial que predica el art. 53.1 CE de ‘los derechos y libertades reconocidos en el Capítulo Segundo del presente Título’, no encuentra otro límite que el de no sobrepasar el ‘equilibrio justo’ o ‘relación razonable entre los medios empleados y la finalidad pretendida’ (por todas, asunto James y Otros c. Reino Unido, 21 de febrero de 1986, § 50), teniendo en cuenta que en las decisiones de índole social y económica se reconoce al legislador un amplio margen de apreciación sobre la necesidad, los fines y las consecuencias de sus disposiciones (inter alia, asunto James y Otros c. Reino Unido, 21 de febrero de 1986, § 46; asunto ex Rey de Grecia y otros c. Grecia, 23 de noviembre de 2000, § 87; asunto Broniowski c. Polonia, 22 de junio de 2004, § 149)”.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 anterior al inciso impugnado del artículo1.3 de la Ley 1/2010, redactado por la Ley 4/2013, supone, trasladando nuevamente al caso lo razonado en la STC 16/2018, que aunque este precepto contiene una restricción relevante para el titular del derecho de propiedad, el legislador, como explica la exposición de motivos de la norma, la adopta “en función de un fin de relevancia constitucional como es garantizar el derecho a disfrutar de una vivienda digna y adecuada (art. 47.1 CE), a lo que se une que un análisis de dichas medidas, respetuoso del amplio margen de apreciación que incumbe al legislador en este ámbito, conduce a este Tribunal a concluir que con ellas no se desborda el justo equilibro entre los medios empleados y la finalidad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Respecto al mismo artículo1.3 de la Ley 1/2010, redactado por la Ley 4/2013, la demanda también afirma la vulneración de las competencias estatales previstas en los apartados 1 y 8 del artículo 149.1.CE, frente a lo que la Comunidad Autónoma de Andalucía esgrime la competencia exclusiva en materia de vivienda que le atribuye el artículo 56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debate en los términos expuestos, nuevamente la respuesta a esta impugnación se encuentra en la STC 16/2018. En ésta, FFJJ 7 y 8, ya recapitulamos cómo a partir de la STC 37/1987, de 26 de marzo, FJ 8, hemos entendido que, dentro del derecho de propiedad, cabe distinguir la vertiente individual de la institucional, que, precisamente, deriva de la función social y es distinta en los distintos bienes, pues no puede desligarse de “los concretos intereses generales que imponen una delimitación específica de su contenido”. Así las cosas, la regulación de esa vertiente institucional “incumbe al titular de la competencia sectorial para tutelar tales intereses y no al que lo es en materia de legislación civil ex art. 149.1.8 CE” [STC 16/2018,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149.1.1 CE, la STC 16/2018, FJ 8 A), también recuerda la doctrina según la cual este título competencial “lo que contiene es una habilitación normativa para que el Estado condicione —mediante, precisamente, el establecimiento de unas ‘condiciones básicas’ uniformes— el ejercicio de esas competencias autonómicas con el objeto de garantizar la igualdad de todos los españoles en el ejercicio de sus derechos y en el cumplimiento de sus deberes constitucionales”, lo que convierte en estos supuestos el enjuiciamiento de las leyes autonómicas a la luz del artículo 149.1.1 CE en un análisis de constitucionalidad mediata, que comienza con la identificación de la ley estatal dictada al amparo de este título competencial y supuestamente vulnerada. Y, del mismo modo que ocurría en el recurso resuelto por la STC 16/2018, tampoco en este caso precisa el Abogado del Estado en sus alegaciones “que el legislador estatal haya dictado, para asegurar una cierta igualdad en el ejercicio del derecho constitucional a la propiedad privada, una norma que reserve al propietario de viviendas (o de edificaciones en general) la decisión de tenerlas permanentemente habitadas” por lo que “resulta necesario afirmar que el legislador autonómico en materia de vivienda, en el momento en que realizamos este enjuiciamiento, no encuentra límites desde esta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es que el artículo 1 de la Ley andaluza 4/2013, por el que se dio nueva redacción al artículo 1.3 de la Ley 1/2010, del derecho a la vivienda en Andalucía, no invade en este momento las atribuciones estatales ex artículo 149.1.1 y .8 CE, lo que se hace extensible a los artículos 25 y 53.1 a) de la misma Ley 1/2010, introducidos por la Ley 4/2013, a los que el recurrente hace extensiva esta impugnación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siguiente motivo de impugnación planteado que hemos de examinar se refiere a la supuesta inconstitucionalidad de los artículos 25 y 53.1 a) de la Ley 1/2010, introducidos por la Ley 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esgrimidas lesiones de los artículos 24 y 25 CE, así como del artículo 9.3 CE por arbitrariedad derivada de la falta de poder de disposición absoluto de las personas jurídicas sobre las viviendas, procede rechazar la impugnación, nuevamente aplicando la doctrina de la STC 16/2018 que, en su fundamento jurídico 9, resolvió una prácticamente idéntica en relación con los correlativos preceptos de la Ley de viviendas de Navarra. Como allí dijimos, pero refiriéndonos ahora a los artículos 25 y 53.1 a) de la Ley andaluza 1/2010, puesto que el primero de estos artículos, según lo razonado en el fundamento jurídico 6 anterior, ha de entenderse en función de la política de fomento en materia de vivienda de la Comunidad Autónoma y, por tanto, no relacionado con las medidas de gravamen que se regulan en otros preceptos de la ley, “[a]l no revestir estos preceptos ninguna eficacia en el régimen sancionador previsto… no es posible anudar a ellos la vulneración de los principios invocados en esta alegación, por lo que debe acordase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a la supuesta lesión de los artículos 9.3 y 14 CE por asociar el artículo 53.1 a) las consecuencias sancionadoras por incumplimiento del deber de habitación solo al caso de las personas jurídicas, cabe trasladar a este supuesto las consideraciones que hacia la STC 16/2018, FJ 10, en relación con esa misma discriminación que en aquel recurso se imputaba a la disposición adicional décima de la Ley navarra de vivienda. Como dijo esta STC: “La demanda no contiene ninguna argumentación relativa a las notas constitutivas del canon de igualdad ex artículo 14 CE, ni precisa la condición peyorativa histórica o socialmente arraigada que concurra en el sujeto discriminado, por lo que el Tribunal ceñirá su análisis a determinar si las diferencias normativas recurridas carece[n] de toda explicación racional… sin que sea pertinente un análisis a fondo de todas las motivaciones posibles de la norma y de todas sus eventuales consecuencias” (STC 38/2016, de 3 de marzo, FJ 8, y las allí citadas), a lo que se añadía que “[e]l Tribunal considera que no solo cabría formular ciertas explicaciones para dicho distinto régimen, sino que incluso alguna de ellas es expuesta en el preámbulo de la norma” y que “[e]n efecto, la notoriedad de la utilización de las viviendas como bien de inversión predicable en las personas jurídicas, frente al natural ejercicio del derecho a la vivienda propio de las personas físicas, podría justificar razonablemente que el legislador asociase consecuencias diversas al incumplimiento del deber de dar efectiva habitación a la vivienda cuando su titular es una persona jurídica”. En este caso, también el preámbulo de la Ley andaluza 4/2013, contiene consideraciones sobre el especial reproche que merece la desocupación de las viviendas de las que son titulares las personas jurídicas, en especial las entidades financieras, sus filiales y sus entidades de gestión de activos, al utilizar las viviendas como bien de inversión y dada la importancia cuantitativa de este escenario. Por tanto, constatado que no se puede afirmar que el distinto trato definido en los preceptos legales ahora examinados carezca de toda explicación racional, no cabe tampoco acoger este motivo impugnatorio.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núm.7357-2013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el artículo 1.3 de la Ley 1/2010, de 8 de marzo, reguladora del derecho a la vivienda en Andalucía, redactado por la Ley 4/2013, de 1 de octubre, de la Comunidad Autónoma de Andalucía, de medidas para asegurar el cumplimiento de la función social de la vivienda, es conforme a la Constitución Española, interpretado de acuerdo con el fundamento jurídico 7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la inconstitucionalidad y nulidad de la disposición adicional primera de la Ley 4/2013, de 1 de octubre, de la Comunidad Autónoma de Andalucía, de medidas para asegurar el cumplimiento de la función social de la vivienda,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