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en nombre y representación de don Juan Ramón García Tomé, por escrito que tuvo entrada en este Tribunal el 22 de junio de 1988, interpone recurso de amparo contra la Sentencia de la Sala Cuarta del Tribunal Supremo de 9 de marzo de 1988 que revoca la de la Sección Cuarta de lo Contencioso-Administrativo de la Audiencia Nacional de 18 de diciembre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consecuencia de una denuncia derivada de un Acta de la Inspección Provincial de Trabajo de La Coruña, se impuso al recurrente en su día una sanción administrativa de 100.000 pesetas. Agotada la preceptiva vía administrativa previa, se interpuso el correspondiente recurso contencioso- administrativo, que fue estimado por la Sentencia de la Sección Cuarta de la Sala de lo Contencioso-Administrativo de la Audiencia Nacional de 18 de diciembre de 1985. Recurrida ésta en apelación por el Abogado del Estado, fue revocada por la Sentencia impugnada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solicitud de amparo en la violación por la resolución recurrida de los arts. 24 y 25 de la Constitución. Entiende, en primer lugar, que se ha conculcado su derecho a la presunción de inocencia, ya que la Sala de lo Contencioso-Administrativo ha invertido la carga de la prueba dotando de veracidad absoluta e indiscutible al Acta de la Inspección de Trabajo. Por otra parte, el art. 25 de la Norma fundamental excluye en el ámbito punitivo la eficacia de todo tipo de presunciones e impide cualquier sanción basada sólo en meras sospechas o indicios.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julio de 1988, la Sección puso de manifiesto la posible concurrencia de las siguientes causas de inadmisión: extemporaneidad y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de 18 de julio de 1988, hizo las oportunas alegaciones, que pueden resumirse como sigue. En primer lugar, señala que salvo que se acredite otra cosa, la demanda resulta extemporánea. Respecto de su carencia de contenido constitucional, comienza recordando el Ministerio Fiscal la posibilidad constitucional de la prueba de presunciones y su compatibilidad con el derecho sancionador. En el presente caso, la Sala Cuarta del Tribunal Supremo respeta plenamente los principios constitucionales razonando la solución adoptada y dando a las presunciones un valor fundamentado y coherente. En relación con la alegada violación del art. 25, se señala que la demanda no razona mínimamente en qué ha podido consistir aquélla. Por todo ello, concluye solicitando que se inadmita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escrito que tuvo entrada en este Tribunal el 27 de julio de 1988, presentó sus alegaciones, en las que básicamente reitera lo expuesto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Subsiste en el presente caso la segunda de las causas de inadmisión puestas de manifiesto en su día, consistente en carecer la demanda de contenido constitucional. Por lo que respecta a la violación del principio de presunción de inocencia, es claro que han existido distintas pruebas de las que el Tribunal de apelación, en una libre valoración, ha deducido, y así lo razona, que se había cometido una infracción administrativa, no siendo cierto, por otra parte, que la Sentencia impugnada otorgue al Acta de Inspección Laboral una «veracidad absoluta e indiscutible», ya que, por el contrario, en su fundamento de derecho tercero atribuye a dicho documento administrativo presunción de veracidad iuris tantum, que puede ceder frente a otras pruebas que condujeran a conclusiones distintas, lo que no ha sucedido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invocada vulneración del art. 25 de la Constitución, procede señalar que, además de realizarse en la demanda una discutible traslación automática de la eficacia del citado precepto desde el ámbito penal al de la potestad sancionadora de la Administración, lo cierto es que ni siquiera en el ámbito penal son admisibles algunas de las consideraciones expuestas por el actor. Se afirma, en efecto, que el principio de legalidad excluye la existencia de presunciones y de condenas por indicios, pero es reiterada doctrina de este Tribunal la admisibilidad constitucional de la prueba indiciaria, siempre que se cumplan ciertas condiciones, que en el presente caso concurren, incluso aplicando la más estricta interpretación.  Así, se declara en la Sentencia que «es mucha casualidad la coincidencia en fecha» entre la actividad inspectora y el alta en la afiliación a la Seguridad Social del trabajador, y a partir de ahí se razona detenidamente el camino seguido para concluir que ha existido infracción. Por otro lado, no puede afirmarse que el citado art. 25 de la Constitución excluya la prueba de presunciones iuris et de iure, pero nada impidió, o al menos no se ha denunciado, que el hoy recurrente haya podido utilizar frente a la citada Acta de Inspección los medios de defensa oportunos, lo que no supone tampoco invertir la carga de la prueba, sino actuar contra la prueba fundamental correctamente aportada por la parte contraria.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