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Raúl Ricardo Lameiro Antón fue sancionado administrativamente en virtud de las Resoluciones de fechas 17 de marzo de 1992 y 14 de octubre de dicho año, por la Consellería de Pesca, Marisqueo y Acuicultura de la Xunta de Galicia, en virtud de expediente núm. PO-317/91, iniciado por la denuncia cursada por el Servicio de Vigilancia de la misma consistente en «entorpecer la labor de vigilancia y realizar faenas de arrastre en zona no autorizada a bordo de la embarcación "Volador II", matricula 3 a VI-2-2269, al sureste de Punta Galera (ría de Pontevedra; Longitud 08 55'2; latitud 42 19'4, el día 8 de mayo de 1991, a sus veinte treinta y cinco horas», por el que se calificaron las infracciones cometidas como muy graves con arreglo a la Ley 5/1985, de 11 de junio, y como grave y muy grave, respectivamente, en aplicación de la Ley 6/1991, de 15 de mayo, imponiéndosele la sanción de multa de 1.100.002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Seguido el correspondiente procedimiento contencioso-administrativo ante la Sala correspondiente del Tribunal Superior de Justicia de Galicia -recurso núm. 5.101/92-, por la misma se denegó la solicitud del recurrente relativa al recibimiento del juicio a prueba, impidiéndosele por ello la práctica de pruebas que pudieran acreditar su inocencia respecto a las imputaciones contra él mismo efectuadas en virtud de la denuncia cursada por el mentado Servicio de Vigilancia de la citada Consellería de Pesca.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diciembre de 1995, se acordó formar pieza separada de suspensión con el precedente testimonio, así como y a tenor de lo dispuesto en el art. 56 de la LOTC, conceder un plazo de tres días al Ministerio Fiscal, y al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se opuso a la suspensión solicitada fundamentalmente en base al carácter de las propias decisiones administrativas confirmadas judicialmente, cuando su contenido, como ocurre en el presente caso, es estrictamente económico, no apreciándose a primera vista, que la propia cuantía de las sanciones impuestas, sean de tal entidad que aconsejen la suspensión, máxime cuando el solicitante de amparo no aporta elementos de prueba acreditativos de las circunstancias que deban llevar aparejada la suspensión de la ejecución de la mencionada sanción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solicitante de amparo se reiteró en las manifestaciones contenidas en su demanda de amparo, mostrándose favorable a la suspensión de dichas sanciones administrativas, en virtud tanto de que de la misma no se sigue perturbación grave a los intereses generales o a los derechos fundamentales o libertades públicas de un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integra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posible restitución a su estado anterior (tales como las condenas penales privativas de libertad, o de privación, o limitación de ciertos derechos), en los que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cuya ejecución se pretende suspender tiene un contenido exclusivamente económico, por lo que, de conformidad con la doctrina antes expuesta, ha de entenderse que su restitución, en el caso de la eventual estimación del recurso de amparo formulado, no resulta imposible; y ello determina la procedencia de denegar la suspensión solicitada, conforme interesa el Ministerio Fiscal, con independencia de cuál sea el resultado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