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agosto de 1995, tuvo entrada en el Registro General de este Tribunal escrito de la representación procesal de «Riu Jove, S. A.», por medio del cual interpone recurso de amparo frente a la Sentencia de 12 de julio de 1995 de la Audiencia Provincial de Lleida, dictada en el rollo de apelación civil 218/95, dimanante de los autos de juicio declarativo ordinario de menor cuantía 384/94 del Juzgado de Primera Instancia núm. 1 de Balaguer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del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La compañía mercantil «Excavaciones Guilla, S. A.», interpuso, contra la entidad «Riu Jove, S. A.», demanda de reclamación de cantidad ascendente a 5.996.082 pesetas, por los trabajos que realizó como subcontratista de ésta en la obra de construcción de una serie de tramos de la carretera Eix Transversal en Manresa. No compareciendo, la demandada fue declarada en rebeldía, siguiéndose el proceso hasta dictarse Sentencia estimatoria en fecha 3 de marzo de 1995. </w:t>
      </w:r>
    </w:p>
    <w:p w:rsidRPr="00C21FFE" w:rsidR="00AD51A7" w:rsidRDefault="00AD51A7">
      <w:pPr>
        <w:rPr/>
      </w:pPr>
      <w:r w:rsidRPr="&lt;w:rPr xmlns:w=&quot;http://schemas.openxmlformats.org/wordprocessingml/2006/main&quot;&gt;&lt;w:lang w:val=&quot;es-ES_tradnl&quot; /&gt;&lt;/w:rPr&gt;">
        <w:rPr/>
        <w:t xml:space="preserve">b) Tras serle notificada la Sentencia, la entidad «Riu Jove, S. A.» interpuso recurso de apelación y solicitó el recibimiento a prueba en la segunda instancia, de conformidad con lo dispuesto en el art. 862.5 de la L.E.C. La prueba fue admitida, -practicándose toda ella salvo la testifical. En fecha 11 de julio de 1995 se celebró la vista oral, manifestándose en la demanda de amparo que se alegó que aun no se había practicado la prueba testifical por causas no imputables a esa parte. No obstante, se dictó Sentencia el día 12 de julio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art. 24.2 de la Constitución, pues la prueba testifical en cuestión era relevante para la resolución del asunto y había sido admitida a trámite, sin que su falta de práctica sea imputable a la parte, pues a tal fin se expidieron los correspondientes exhortos que fueron remitidos de oficio por el propio órgano judicial.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haría perder al amparo su finalidad, máxime cuando existe un aval bancario suficiente para cubrir la cuantía reclamada.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febrero de 1996, la Sección Segunda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de esta capital, el 19 de febrero de 1996, la demandante de amparo formuló alegaciones en las que daba por reproducido lo expuesto en el segundo otrosí de su demanda, añadiendo que la suspensión solicitada no podía causar ningún perjuicio a la parte favorecida por la Sentencia, al existir un aval bancario que cubría la cuantía reclamada.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23 de febrero de 1996, el Fiscal interesó la no suspensión de la resolución impugnada, por referirse únicamente al pago de una cantidad dineraria, sin que se aprecie ninguna dificultad para su devolución en caso de que tuviese éxito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56 LOTC, procede la suspensión del acto de los poderes públicos por razón del cual se reclame el amparo constitucional cuando la ejecución hubiere de ocasionar un perjuicio que hiciera perder al amparo su finalidad. No obstante, podrá denegarse dicha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 Por tanto, para justificar la suspensión no es suficiente cualquier tipo de perjuicio, molestia o dificultad, por lo que se ha entendido que como las resoluciones judiciales con efectos meramente económicos, en principio, no causan ningún perjuicio irreparable, no procede su suspensión (ATC 275/1990).</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46/1 996).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anteriormente expuesta al presente caso debe conducir a la desestimación de la solicitud de suspensión, toda vez que la resolución impugnada se refiere únicamente al pago de una cantidad dineraria, y no se ha justificado la concurrencia de ningún perjuicio que pudiese hacer perder al amparo su finalidad. El recurrente se ha limitado a una mera invocación de tal perjuicio, pero sin especificar, siquiera someramente, la concurrencia de las circunstancias que acreditarían su existencia. Por otra parte, no mediando tal perjuicio en el recurrente, ninguna relevancia tiene la inexistencia, a su vez, de perjuicios en la parte favorecida por la Sentencia impugnada, ya que éstos podrían ser relevantes en orden a enervar la posibilidad de suspensión, cuando se dé el supuesto del art. 56.1, in fine, LOTC, pero en modo alguno su inexistencia puede justificar el otorgamiento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