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5950-2001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5950-2001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15 de noviembre de 2001, el Procurador de los Tribunales don Ramón Rodríguez Nogueira, en nombre y representación de don José Casañ Moliner, interpuso recurso de amparo contra la Sentencia de la Audiencia Provincial de Valencia de 5 de octubre de 2001 por la que se desestima el recurso de apelación interpuesto frente a la Sentencia de 12 de abril de 2001 del Juzgado de Primera Instancia núm. 17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Casañ Moliner, Secretario de Ayuntamiento, en reclamación de 147.000 pesetas, importe al que ascendían las cuotas impagadas al mismo. </w:t>
      </w:r>
    </w:p>
    <w:p w:rsidRPr="00C21FFE" w:rsidR="00AD51A7" w:rsidRDefault="00AD51A7">
      <w:pPr>
        <w:rPr/>
      </w:pPr>
      <w:r w:rsidRPr="&lt;w:rPr xmlns:w=&quot;http://schemas.openxmlformats.org/wordprocessingml/2006/main&quot;&gt;&lt;w:lang w:val=&quot;es-ES_tradnl&quot; /&gt;&lt;/w:rPr&gt;">
        <w:rPr/>
        <w:t xml:space="preserve">b) El Sr. Casañ Moliner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12 de abril de 2001 por el Juzgado de Primera Instancia núm. 17 de Valencia, condenando al pago de la cantidad reclamada. </w:t>
      </w:r>
    </w:p>
    <w:p w:rsidRPr="00C21FFE" w:rsidR="00AD51A7" w:rsidRDefault="00AD51A7">
      <w:pPr>
        <w:rPr/>
      </w:pPr>
      <w:r w:rsidRPr="&lt;w:rPr xmlns:w=&quot;http://schemas.openxmlformats.org/wordprocessingml/2006/main&quot;&gt;&lt;w:lang w:val=&quot;es-ES_tradnl&quot; /&gt;&lt;/w:rPr&gt;">
        <w:rPr/>
        <w:t xml:space="preserve">c) Planteado recurso de apelación por el Sr. Casañ Moliner contra la referida Sentencia, el mismo fue desestimado en la dictada el 5 de octubre de 2001 por la Sección Primera de la Audiencia Provincial de Valencia, que reproducía la de 13 de julio de 2001 del mismo Tribunal, en cuya resolución se afirma que, partiendo de que la doctrina del Tribunal Constitucional (SSTC 194/1998, 131/1989 y 69/1985) deja un margen al legislador para apreciar en qué casos las funciones de los Colegios Profesionales pueden ser asumidas por la Administración al tratarse de profesionales que prestan su actividad exclusivamente para ella, y, por ende, excluir en tales casos la colegiación obligatoria, puede entenderse que en el presente caso la Administración no ha asumido tales funciones, por lo que la colegiación deviene obligatoria, obligatoriedad que arranca del art. 1 del Real Decreto de 8 de septiembre de 1925, y que es mantenida en el Reglamento General de Colegios, aprobado por Real Decreto de 14 de noviembre de 1929, y por el art. 203.1 del Reglamento de Funcionarios de la Administración Local, aprobado por Decreto de 30 de mayo de 1952, lo que determina que se pudiera considerar vigente por la Ley 2/1974 de Colegios Profesionales. Dicha situación de legalidad en cuanto a la obligatoriedad de la pertenencia al Colegio demandante se viene manteniendo, en opinión de la Audiencia, después de asumidas por la Comunidad valenciana las competencias en materia de Colegios Profesionales, como lo revela que, por Decretos 123/1986, de 20 de octubre, del Gobierno valenciano y 17/1987, de 13 de abril del Presidente de la Generalidad valenciana, fuese el mismo inscrito en el Registro de Colegios Profesionales de la Comunidad valenciana, adaptándose en su actuación a Ley 7/1997, de 14 de abril y rigiéndose sus actividades por el Reglamento de Colegios de Secretarios de 1953, modificado por Resolución de la Dirección General de Administración Local de 2 de febrero de 1978 y por sus Estatutos, adaptados a la Constitución y a todo el bloque de legalidad, en especial a la Ley 6/1997, de 4 de diciembre, de Consejos y Colegios Profesionales de la Comunidad valenciana, así como por los Estatutos Generales de la Organización Colegial de Secretarios, Interventores y Tesoreros de la Administración Local aprobados por Real Decreto 1912/2000, de 24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vulneigualdad del art. 14 CE porque la exigencia de tal colegiación no es de aplicación en otros lugares del territorio español, como en Aragón o en Canarias, en donde su legislación autonómica (art. 18 de la Ley 12/1998, de 22 de diciembre, de Medidas Tributarias, Financieras y Administrativas de la Presidencia de la Diputación General de Aragón y art. 9.3 de la Ley 10/1990, sobre Colegios Profesionales de la Comunidad de Canarias) establece que los profesionales titulados que estén vinculados a las Administraciones Públicas no precisarán colegiarse para el ejercicio de tales profesiones al servicio de las Administración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6 de junio de 2002, la Sala Segunda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17 de junio de 2002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mismo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y 7 de mayo de 2002 de las Secciones Cuarta y Sexta de la Audiencia Provincial de Valencia, respectivamente,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5 de octubre de 2001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21 de junio de 2002 presentó su escrito de alegaciones el Ministerio Fiscal. En él manifiesta que los intereses en conflicto que se deben examinar para resolver la pretensión conforme al art. 56.1 LOTC son, de una parte, el interés general inherente a la ejecución de una Sentencia consagrado en el art. 118 CE y, de otra, el interés del recurrente en aplazar el cumplimiento de la obligación a cuyo pago aquélla condena, que, por ser de naturaleza pecuniaria, admite perfectamente su restitución. Dicho conflicto se debe resolver, para el Ministerio público y como enseña la doctrina constitucional (ver AATC 239/1990, 6/1996, 61/1997, 89/1997, 109/1997 y 13/1999) sacrificando el interés del recurrente que, por ser perfectamente reparable en el caso de que se concediese el amparo que solicita, determina que carezca de virtualidad en el presente caso la causa que, conforme al art. 56.1 LOTC, justifica que pueda acordarse la suspensión de la ejecución de la resolución recurrida. Por todo ello el Fiscal se opone 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Como muy bien dice el Ministerio Fiscal,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