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2352-2002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2352-2002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de la Sección Primera de la Audiencia Provincial de Valencia de 13 de marzo de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abril de 2002, la Procuradora de los Tribunales doña Josefina Ruiz Ferrán, interpuso, en nombre y representación de don Silvano Sauquillo Monsálvez, don José Sánchez Copete y la Mutua Valenciana Automovilista, recurso de amparo contra la Sentencia de 13 de marzo de 2002 de la Sección Primera de la Audiencia Provincial de Valencia en virtud de la cual el recurrente Sr. Sauquillo Monsálvez resultó condenado como autor de una falta de lesiones imprudentes del art. 621.3 CP a la pena de treinta días de multa con cuota diaria de dos mil pesetas y en responsabilidad civil, dejando la fijación de la cuantía para la ejecución de Sentencia, y a los recurrentes don José Sánchez Copete y la Mutua Valenciana Automovilista como responsables civiles subsidiarios.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del derecho a la presunción de inocencia (art. 24.2 CE) y de los derechos a la tutela judicial efectiva sin indefensión y proceso con todas las garantías (art.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julio de 2003, la Sección Segunda de este Tribunal acordó admitir a trámite la demanda de amparo, y, de conformidad con lo previsto en el art. 56 LOTC, abrir pieza separada de suspensión y conceder un plazo común de tres días, al Ministerio Fiscal y a los demandantes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31 de julio de 2003, el Ministerio Fiscal, interesó la denegación de la suspensión de la resolución en aplicación de la doctrina jurisprudencial conforme a la cual los perjuicios ocasionados eventualmente por la ejecución de las resoluciones judiciales que contienen condenas de carácter patrimonial no son irreparables, y solo se procede a la suspensión si se acreditan especiales perjuicios, cosa que no se efectúa en la demanda en relación con la multa impuesta al condenado penalmente y no se puede determinar en relación con la condena a la indemnización dado que su cuantía no ha sido determinada.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11 de agosto 2003, la representación de los demandantes de amparo ratificó la pretensión de suspensión y la fundamentación efectuada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y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 pena de multa de treinta días con cuota de dos mil pesetas diarias, la correspondiente responsabilidad personal subsidiaria para caso de impago de la multa, y la condena en responsabilidad civil y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y 117/1999, por todos). Esta doctrina es igualmente aplicable a la condena en costas procesales, pues al entrañar un pago en dinero, su ejecución no provoca ningún perjuicio que pueda hacer inútil el recurso de amparo (AATC 244/1991 y 2092/1992, 267/1995, 117/1999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pena de multa impuesta, la indemnización en concepto de responsabilidad civil y la condena en costas procesales. Como advierte el Ministerio Fiscal, ni se acredita ni se observa un especial perjuicio en la ejecución de la pena de multa, ni puede examinarse respecto de la responsabilidad civil al haberse dejado sin determinar su cuantía para la ejecución de sentencia. No obstante, ha de señalarse que, de conformidad con el art. 57 LOTC la suspensión o su denegación puede ser modificada durante el curso del juicio de amparo constitucional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(ATC 136/1999).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de la Sección Primera de la Audiencia Provincial de Valencia de 13 de marzo de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