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5093-2003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5093-2003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las resoluciones impugnadas exclusivamente en lo referente a las penas privativa de libertad de tres años y un día de prisión y a las accesorias legales.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30 de julio de 2003, doña Lucía Agulla Lanza, Procuradora de los Tribunales, y de don Mohamed Abdelaziz Salah y don Hassan Abdelaziz Salah,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 la Sección Séptima de la Audiencia Provincial de Málaga con sede en Melilla, de 3 de octubre de 2001, los demandantes de amparo fueron condenados, como autores de un delito contra la salud pública de los arts. 368 y 369.3 CP, de sustancias no gravemente dañinas para la salud y en cantidad de notoria importancia, sin circunstancias modificativas de la responsabilidad penal, a la pena de tres años y un día de prisión, tres millones de pesetas de multa, accesoria legal y abono de un tercio de las costas. </w:t>
      </w:r>
    </w:p>
    <w:p w:rsidRPr="00C21FFE" w:rsidR="00AD51A7" w:rsidRDefault="00AD51A7">
      <w:pPr>
        <w:rPr/>
      </w:pPr>
      <w:r w:rsidRPr="&lt;w:rPr xmlns:w=&quot;http://schemas.openxmlformats.org/wordprocessingml/2006/main&quot;&gt;&lt;w:lang w:val=&quot;es-ES_tradnl&quot; /&gt;&lt;/w:rPr&gt;">
        <w:rPr/>
        <w:t xml:space="preserve">b) Contra la anterior resolución interpusieron recurso de casación los ahora demandantes de amparo, al que se adhirió el Ministerio Fiscal en lo relativo a la vulneración del derecho a la presunción de inocencia, por la inexistencia de corroboración alguna de las declaraciones del coimputado, que constituye la única prueba de cargo. </w:t>
      </w:r>
    </w:p>
    <w:p w:rsidRPr="00C21FFE" w:rsidR="00AD51A7" w:rsidRDefault="00AD51A7">
      <w:pPr>
        <w:rPr/>
      </w:pPr>
      <w:r w:rsidRPr="&lt;w:rPr xmlns:w=&quot;http://schemas.openxmlformats.org/wordprocessingml/2006/main&quot;&gt;&lt;w:lang w:val=&quot;es-ES_tradnl&quot; /&gt;&lt;/w:rPr&gt;">
        <w:rPr/>
        <w:t xml:space="preserve">c) El recurso fue, no obstante, desestimado por Sentencia de la Sala de lo Penal del Tribunal Supremo, de 24 de junio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 los recurrentes a un proceso con todas las garantías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los demandantes solicitan que se deje en suspenso la ejecución de la Sentencia, alegando que su ejecución podría ocasionarles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julio de 2005, la Sección Primera de este Tribunal acordó la admisión a trámite de la demanda. Mediante otra providencia de la misma fecha se acordó formar la correspondiente pieza separada de suspensión y, de conformidad con lo previsto en el art. 56 LOTC, conceder un plazo común de tres días al Ministerio Fiscal y a los solicitantes de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20 de julio de 2005, realizan sus alegaciones los demandantes de amparo, quienes reiteran la solicitud de suspensión de la ejecución de la Sentencia hasta tanto no se resuelva el recurso de amparo, aportando el informe del Ministerio Fiscal en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mismo día 20 de julio de 2005 se registró el escrito de alegaciones del Ministerio Fiscal, que considera procedente la suspensión de la ejecución de la Sentencia en lo relativo a la pena privativa de libertad y a la accesoria legal impuesta a ambos recurrentes, debiendo ser denegada en todo lo demás. </w:t>
      </w:r>
    </w:p>
    <w:p w:rsidRPr="00C21FFE" w:rsidR="00AD51A7" w:rsidRDefault="00AD51A7">
      <w:pPr>
        <w:rPr/>
      </w:pPr>
      <w:r w:rsidRPr="&lt;w:rPr xmlns:w=&quot;http://schemas.openxmlformats.org/wordprocessingml/2006/main&quot;&gt;&lt;w:lang w:val=&quot;es-ES_tradnl&quot; /&gt;&lt;/w:rPr&gt;">
        <w:rPr/>
        <w:t xml:space="preserve">En cuanto a las penas privativas de libertad, estima el Fiscal que, de conformidad con la doctrina del Tribunal, en atención a la gravedad de las mismas, se hallarían dentro del límite genérico en el que se accede a la suspensión, debiendo ponderarse también la circunstancia de que se trata de una sustancia no gravemente perjudicial para la salud y que ambos recurrentes carecen de antecedentes penales. Y la accesoria legal ha de seguir la misma suerte que la principal. </w:t>
      </w:r>
    </w:p>
    <w:p w:rsidRPr="00C21FFE" w:rsidR="00AD51A7" w:rsidRDefault="00AD51A7">
      <w:pPr>
        <w:rPr/>
      </w:pPr>
      <w:r w:rsidRPr="&lt;w:rPr xmlns:w=&quot;http://schemas.openxmlformats.org/wordprocessingml/2006/main&quot;&gt;&lt;w:lang w:val=&quot;es-ES_tradnl&quot; /&gt;&lt;/w:rPr&gt;">
        <w:rPr/>
        <w:t xml:space="preserve">Por el contrario, se opone a la suspensión solicitada en cuanto a la pena de multa impuesta y a las costas procesales, por tratarse de pronunciamientos de naturaleza económica, sin que la parte actora haya justificado en la demanda la irreparabilidad del perjuicio que pudiera derivarse de su abono. Tampoco entiende el Fiscal procedente la suspensión de la responsabilidad personal subsidiaria en caso de impago de la pena de multa, por tratarse de una eventualidad incierta y futura que, de sobrevenir, podría dar lugar a la modificación de la medida cautelar (cita, por todos, ATC 315/2004).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(tres años y un día) con el tiempo que requiere la tramitación de un proceso como el presente, ha de concluirse que no suspender su ejecución ocasionaría un perjuicio irreparable, que privaría en parte o, incluso, en todo de eficacia a un eventual fallo estimatorio. Por otro lado, atendidas las demás circunstancias concurrentes en el caso (que la sustancia aprehendida no era de las que causan grave daño a la salud y que los recurrentes carecen de antecedentes penales), tal y como destaca el Ministerio Fiscal, no se aprecia que acceder a la suspensión solicitada ocasione una lesión específica y grave del interés general, más allá de aquélla que de por sí produce la no ejecución de un fallo judicial (AATC 163/1996, 419/1997, 48/1998, 262/1998, 106/2002).</w:t>
      </w:r>
    </w:p>
    <w:p w:rsidRPr="00C21FFE" w:rsidR="00AD51A7" w:rsidRDefault="00AD51A7">
      <w:pPr>
        <w:rPr/>
      </w:pPr>
      <w:r w:rsidRPr="&lt;w:rPr xmlns:w=&quot;http://schemas.openxmlformats.org/wordprocessingml/2006/main&quot;&gt;&lt;w:lang w:val=&quot;es-ES_tradnl&quot; /&gt;&lt;/w:rPr&gt;">
        <w:rPr/>
        <w:t xml:space="preserve">Igualmente procede la suspensión de las penas accesorias legalmente impuestas, pues conforme a nuestra Jurisprudencia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 y costas procesales— de conformidad con el criterio anteriormente expuesto de que, por tratarse de condenas de contenido económico, los perjuicios anejos a su ejecución son perfectamente reparables en caso de estimarse el amparo (AATC 152/1996, 371/1996, 91/1997, 181/1998, 182/1998, 273/1998, 189/2000, 193/2000, 204/2000, 106/2002).</w:t>
      </w:r>
    </w:p>
    <w:p w:rsidRPr="00C21FFE" w:rsidR="00AD51A7" w:rsidRDefault="00AD51A7">
      <w:pPr>
        <w:rPr/>
      </w:pPr>
      <w:r w:rsidRPr="&lt;w:rPr xmlns:w=&quot;http://schemas.openxmlformats.org/wordprocessingml/2006/main&quot;&gt;&lt;w:lang w:val=&quot;es-ES_tradnl&quot; /&gt;&lt;/w:rPr&gt;">
        <w:rPr/>
        <w:t xml:space="preserve">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no se ha acreditado en absoluto la irreparabilidad del perjuicio derivado de la ejecución por la concurrencia de circunstancias especiales, carga que corresponde al recurrente (por todos, AATC 273/1998, 63/2002, 93/2002, 70/2003).</w:t>
      </w:r>
    </w:p>
    <w:p w:rsidRPr="00C21FFE" w:rsidR="00AD51A7" w:rsidRDefault="00AD51A7">
      <w:pPr>
        <w:rPr/>
      </w:pPr>
      <w:r w:rsidRPr="&lt;w:rPr xmlns:w=&quot;http://schemas.openxmlformats.org/wordprocessingml/2006/main&quot;&gt;&lt;w:lang w:val=&quot;es-ES_tradnl&quot; /&gt;&lt;/w:rPr&gt;">
        <w:rPr/>
        <w:t xml:space="preserve">Finalmente ha de denegarse, en el momento actual, la suspensión de la responsabilidad personal subsidiaria para el caso de impago de la pena de multa, pues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 57 LOTC (AATC 107/1998, 136/1999, 227/1999, 245/1999, 61/2000, 41/2002, 315/2004).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las resoluciones impugnadas exclusivamente en lo referente a las penas privativa de libertad de tres años y un día de prisión y a las accesorias legales.</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