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abril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8763-2005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8763-2005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de la Sala de lo Social del Tribunal Superior de Justicia de Cataluña de fecha 6 de octubre de 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 de diciembre de 2005, el Procurador de los Tribunales don Adolfo Morales Hernández Sanjuán, interpuso, en nombre de don Antonio Meira Guerrero, recurso de amparo contra la Sentencia de la Sala de lo Social del TSJ de Cataluña recaída en recurso de suplicación núm. 3470-2004 contra la dictada por el Juzgado de lo Social núm.1 de Sabadell, Autos 1432/2002.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demandante de amparo fue demandado en su día por don Teodoro Navarro Gaviria en reclamación por despido nulo. Tramitado el procedimiento, se dictó Sentencia por el Juzgado de lo Social núm 1 de los de Sabadell en la que, estimando parcialmente la demanda, se declaró la improcedencia del despido del demandante, condenando a la empresa demandada para que el plazo de cinco días desde la notificación de la demanda optase por la readmisión del trabajador con abono de los salarios dejados de percibir desde la fecha de despido hasta que se produjese su efectiva readmisión, o por al abono de la indemnización de 5.637,13 euros. </w:t>
      </w:r>
    </w:p>
    <w:p w:rsidRPr="00C21FFE" w:rsidR="00AD51A7" w:rsidRDefault="00AD51A7">
      <w:pPr>
        <w:rPr/>
      </w:pPr>
      <w:r w:rsidRPr="&lt;w:rPr xmlns:w=&quot;http://schemas.openxmlformats.org/wordprocessingml/2006/main&quot;&gt;&lt;w:lang w:val=&quot;es-ES_tradnl&quot; /&gt;&lt;/w:rPr&gt;">
        <w:rPr/>
        <w:t xml:space="preserve">b) Frente a la referida Sentencia se interpuso escrito de aclaración por producirse un error material en la fecha de efectos del despido, dictándose por el Juzgado Auto por el que se dispuso rectificar y modificar la fecha de despido que se indicó en el fallo de la Sentencia, fecha de referencia para el cálculo de los salarios de tramitación en el supuesto de que la empresa optase por la readmisión. </w:t>
      </w:r>
    </w:p>
    <w:p w:rsidRPr="00C21FFE" w:rsidR="00AD51A7" w:rsidRDefault="00AD51A7">
      <w:pPr>
        <w:rPr/>
      </w:pPr>
      <w:r w:rsidRPr="&lt;w:rPr xmlns:w=&quot;http://schemas.openxmlformats.org/wordprocessingml/2006/main&quot;&gt;&lt;w:lang w:val=&quot;es-ES_tradnl&quot; /&gt;&lt;/w:rPr&gt;">
        <w:rPr/>
        <w:t xml:space="preserve">c) En fecha 18 de julio de 2003 la empresa presentó escrito optando por la extinción del contrato y el abono de la indemnización y, al mismo tiempo, anunció el correspondiente recurso de suplicación. Asimismo la parte actora anunció la interposición de recurso de suplicación, aunque posteriormente desistió del mismo, aquietándose con la Sentencia dictada en primera instancia. </w:t>
      </w:r>
    </w:p>
    <w:p w:rsidRPr="00C21FFE" w:rsidR="00AD51A7" w:rsidRDefault="00AD51A7">
      <w:pPr>
        <w:rPr/>
      </w:pPr>
      <w:r w:rsidRPr="&lt;w:rPr xmlns:w=&quot;http://schemas.openxmlformats.org/wordprocessingml/2006/main&quot;&gt;&lt;w:lang w:val=&quot;es-ES_tradnl&quot; /&gt;&lt;/w:rPr&gt;">
        <w:rPr/>
        <w:t xml:space="preserve">d) Formalizado el recurso por el demandante de amparo y sustanciado éste, la Sala de lo Social del Tribunal Superior de Justicia de Cataluña dictó Sentencia núm 6775/2004, dictada en fecha 6 de octubre de 2004, por la que declara estimar parcialmente el recurso de suplicación y revocar parcialmente la Sentencia recurrida, por lo que hace al importe del salario diario del trabajador y, en consecuencia, el importe de la indemnización por despido improcedente, condenando a la empresa a que abonase al trabajador demandante una indemnización de 2.634,68 euros, con abono de salarios de tramitación a razón de 14,86 euros diarios, confirmándola en sus demás extremos. </w:t>
      </w:r>
    </w:p>
    <w:p w:rsidRPr="00C21FFE" w:rsidR="00AD51A7" w:rsidRDefault="00AD51A7">
      <w:pPr>
        <w:rPr/>
      </w:pPr>
      <w:r w:rsidRPr="&lt;w:rPr xmlns:w=&quot;http://schemas.openxmlformats.org/wordprocessingml/2006/main&quot;&gt;&lt;w:lang w:val=&quot;es-ES_tradnl&quot; /&gt;&lt;/w:rPr&gt;">
        <w:rPr/>
        <w:t xml:space="preserve">e) Al día siguiente de su notificación, el solicitante de amparo solicitó rectificación o aclaración de la Sentencia, por entender que se había producido un error material de transcripción en el fallo, pues se condenaba a la empresa a que abonase al trabajador una indemnización más el abono de los salarios de tramitación, cuando no había sido nunca pedida tal solicitud por el demandante, ni habían sido objeto del recurso, ni procedían por norma legal vigente en el momento del hecho causante. </w:t>
      </w:r>
    </w:p>
    <w:p w:rsidRPr="00C21FFE" w:rsidR="00AD51A7" w:rsidRDefault="00AD51A7">
      <w:pPr>
        <w:rPr/>
      </w:pPr>
      <w:r w:rsidRPr="&lt;w:rPr xmlns:w=&quot;http://schemas.openxmlformats.org/wordprocessingml/2006/main&quot;&gt;&lt;w:lang w:val=&quot;es-ES_tradnl&quot; /&gt;&lt;/w:rPr&gt;">
        <w:rPr/>
        <w:t xml:space="preserve">f) La Sala de lo Social dictó Auto de fecha 26 de noviembre de 2004, por el que acordó no haber lugar aclarar la Sentencia dictada. </w:t>
      </w:r>
    </w:p>
    <w:p w:rsidRPr="00C21FFE" w:rsidR="00AD51A7" w:rsidRDefault="00AD51A7">
      <w:pPr>
        <w:rPr/>
      </w:pPr>
      <w:r w:rsidRPr="&lt;w:rPr xmlns:w=&quot;http://schemas.openxmlformats.org/wordprocessingml/2006/main&quot;&gt;&lt;w:lang w:val=&quot;es-ES_tradnl&quot; /&gt;&lt;/w:rPr&gt;">
        <w:rPr/>
        <w:t xml:space="preserve">g) Frente a esta Sentencia presentó la parte escrito de preparación del recurso de casación para unificación de doctrina, que posteriormente formalizó, siendo inadmitido mediante Auto de la Sala de lo Social del Tribunal Supremo, de fecha 13 de octubre de 2005, por falta de contradicción de la Sentencia recurrida con las elegidas como referenciales, declarando la firmeza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la vulneración del derecho a la tutela judicial efectiva (art. 24.1 CE), al haber incurrido la indicada Sentencia dictada en suplicación en incongruencia por reforma peyorativa, concretamente en reformatio in peius, pues su posición jurídica resultó empeorada, sin su audiencia, a consecuencia exclusivamente de su recurso, generándole la consiguiente indefensión. Asimismo la Sentencia impugnada de la Sala de lo Social del Tribunal Superior de Justicia infringe la obligación de motivar las resoluciones judiciales, pues en sus fundamentos jurídicos no exterioriza las razones o justificaciones que han llevado al Tribunal a adoptar ese concreto pronunciamiento en el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9 de marzo de 2006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de amparo formuló sus alegaciones en escrito que tuvo entrada en este Tribunal el día 29 de marzo de 2005, reiterando su petición de suspensión y argumentando que, de no adoptarse tal medida, se produciría un grave perjuicio de difícil recuperación, que haría perder al amparo solicitado su finalidad. Además, tal suspensión no generaría ninguna perturbación o daño grave a los derechos del trabajador afectado, al constar consignada en la cuenta de consignaciones del Juzgado la cantidad a que ascienden los salarios de tramitación.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ante este Tribunal el 1 de abril de 2005 el Ministerio Fiscal interesó la denegación de la suspensión interesada de la ejecución de las resoluciones impugnadas. Alega el Fiscal que los perjuicios que se pueden derivar de la ejecución de las resoluciones recurridas en amparo son de naturaleza económica y, por tanto, susceptibles de reparación en el caso de que, por otorgarse el amparo, se anularan las resoluciones recurridas. Se trata, en definitiva, de la suspensión de la ejecución de la Sentencia dictada por la Sala de lo Social, que condena a la empresa al abono del importe de salarios de tramitación, no pudiendo confirmarse —pues la actora no lo acredita en modo alguno— la hipótesis que presupone de la futura falta de reintegro de lo abonado por la empresa al trabajador, en el caso de que finalmente fuere otorgado el amparo pretendido.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238/2004, de 28 de junio).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Conforme al citado criterio interpretativo, hemos dicho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A tal fin, hemos venido distinguiendo entre aquellas decisiones judiciales cuya efectividad no impide devolver las cosas al ser y estado en que se hallaban antes de la ejecución y que admiten, por tanto, una posterior restitutio in integrum, y aquellas otras decisiones judiciales en las que la suspensión está justificada por afectar a bienes o derechos de imposible restitución a su estado anterior. Así, por ejemplo,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574/1985 ó 275/1990). Sólo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y 52/1989, entre otros), hemos accedido 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el interés debatido es exclusivamente económico, y se circunscribe a que, en caso de otorgarse el amparo, debiera procederse al reintegro del importe de los salarios de tramitación a cuyo pago ha sido condenado el demandante. De este modo, es claro que el conflicto hay que resolverlo, como indica la antecitada doctrina constitucional, sin poder atender el interés del recurrente, porque éste sería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alguna. La aplicación de este criterio al supuesto que ahora nos ocupa determina la denegación de la medida cautelar de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de la Sala de lo Social del Tribunal Superior de Justicia de Cataluña de fecha 6 de octubre de 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tres de abril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