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dictada por la Audiencia Provincial de Jaén, de 4 de diciembre de 2006, exclusivamente en lo referente a la pena privativa de libertad de seis meses de prisión.</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enero de 2007, don José Luis Pinto Marabotto, Procurador de los Tribunales y de don Joaquín Ordóñez Carrillo,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del Juzgado de lo Penal núm. 1 de Jaén, de 10 de octubre de 2006, se absolvió al demandante de amparo del delito contra la ordenación del territorio del que venía siendo acusado. </w:t>
      </w:r>
    </w:p>
    <w:p w:rsidRPr="00C21FFE" w:rsidR="00AD51A7" w:rsidRDefault="00AD51A7">
      <w:pPr>
        <w:rPr/>
      </w:pPr>
      <w:r w:rsidRPr="&lt;w:rPr xmlns:w=&quot;http://schemas.openxmlformats.org/wordprocessingml/2006/main&quot;&gt;&lt;w:lang w:val=&quot;es-ES_tradnl&quot; /&gt;&lt;/w:rPr&gt;">
        <w:rPr/>
        <w:t xml:space="preserve">b) Contra la anterior resolución interpuso recurso de apelación el Ministerio Fiscal, recurso estimado por la Sentencia de la Audiencia Provincial de Jaén, de 4 de diciembre de 2006, que le condenó como autor de un delito contra la ordenación del territorio a la pena de seis meses de prisión, inhabilitación especial para la profesión u oficio de promotor durante seis meses y multa de doce meses a razón de 6 euros, cuota día, con responsabilidad personal subsidiaria del artículo 53 en caso de impago, ordenándose la demolición de la nave sita en el margen derecho de la carretera del puente de la Sierra al puente Jontoya, a cargo del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un proceso con todas las garantías (art. 24.2 CE), a la presunción de inocencia (art. 24.2 CE) y a la legalidad penal (art. 25.1 CE). </w:t>
      </w:r>
    </w:p>
    <w:p w:rsidRPr="00C21FFE" w:rsidR="00AD51A7" w:rsidRDefault="00AD51A7">
      <w:pPr>
        <w:rPr/>
      </w:pPr>
      <w:r w:rsidRPr="&lt;w:rPr xmlns:w=&quot;http://schemas.openxmlformats.org/wordprocessingml/2006/main&quot;&gt;&lt;w:lang w:val=&quot;es-ES_tradnl&quot; /&gt;&lt;/w:rPr&gt;">
        <w:rPr/>
        <w:t xml:space="preserve">Mediante otrosí, en la propia demanda, se insta la suspensión de la ejecución de la resolución recurrida, por entender que lo contrario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noviembre de 2008, la Sala Segunda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Mediante otra providencia de la misma fecha, la Sala Segunda acordó formar la correspondiente pieza separada de suspensión y, de conformidad con lo previsto en el art. 56 LOTC, conceder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día 2 de diciembre de 2008, el recurrente presentó sus alegaciones, reiterando la solicitud de suspensión, por entender que la ejecución de la Sentencia haría perder al amparo su finalidad, especialmente si la demolición de la nave construida llegara a acordarse, lo que le causaría un grave daño.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día 3 de diciembre de 2008, interesando que se acceda a la suspensión solicitada en lo relativo a la pena privativa de libertad impuesta y que se deniegue la suspensión de los demás pronunciamientos condenatorios del fallo. </w:t>
      </w:r>
    </w:p>
    <w:p w:rsidRPr="00C21FFE" w:rsidR="00AD51A7" w:rsidRDefault="00AD51A7">
      <w:pPr>
        <w:rPr/>
      </w:pPr>
      <w:r w:rsidRPr="&lt;w:rPr xmlns:w=&quot;http://schemas.openxmlformats.org/wordprocessingml/2006/main&quot;&gt;&lt;w:lang w:val=&quot;es-ES_tradnl&quot; /&gt;&lt;/w:rPr&gt;">
        <w:rPr/>
        <w:t xml:space="preserve">Entiende el Fiscal que la pena privativa de libertad de seis meses de prisión debe ser suspendida, pues su corta duración en comparación con el tiempo de tramitación de un recurso de amparo determina que la no suspensión cause un perjuicio irreparable, al hacer ineficaz un eventual fallo estimatorio. Por el contrario, entiende que no han de suspenderse ni la pena de inhabilitación especial de derechos (pues no se ha acreditado el perjuicio que podría derivarse de su no suspensión, siendo en todo caso de contenido económico y, por tanto, reparable), ni la pena de multa (por ser una pena de contenido económico cuyos perjuicios son fácilmente reparables), ni la medida de demolición de la construcción (pues de las resoluciones judiciales se desprende que se trata de una nave de 600 metros cuadrados, cuyo uso industrial no está acreditado, y que parece destinada a la estabulación caballar, sin que el recurrente acredite que la demolición genere un perjuicio irreparable, más allá del de contenido económico, sobre cuya importancia y valoración ningún dato aporta el recurrente, ni sobre su capacidad patrimonial; y tampoco se acredita la existencia de actividad alguna en la nave cuya suspensión o eliminación cause perjuicios irreparables).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 la resolución impugnada ocasione al demandante un perjuicio que pudiera hacer perder al amparo su finalidad, podrá acordarse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Conforme a la doctrina elaborada por este Tribunal en relación con la primitiva redacción del art. 56 LOTC, sustancialmente coincidente con la actualmente vigente (AATC 99/1999, de 26 de abril, FJ 2; 289/2000, de 11 de diciembre, FJ 2; 230/2001, de 24 de julio, FJ 1; 171/2002, de 30 de septiembre, FJ 1; 413/2003, de 15 de diciembre, FJ 1; 369/2005, de 24 de octubre, FJ 2; 466/2007, de 17 de diciembre y 109/2008, de 14 de abril, FJ 1), la suspensión se configura como una medida provisional de carácter excepcional y de aplicación restrictiva, dado el interés general en la efectividad de las decisiones de los poderes públicos y, particularmente, en la ejecución de las resoluciones dictadas por Jueces y Tribunales en el ejercicio de la potestad jurisdiccional que les otorga el art. 117.3 CE, puesto que la protección del interés general que comporta la efectividad de aquéllas, amparadas como están por la presunción de veracidad y legalidad, impone, en principio, la aplicación del art. 56.1 LOTC, esto es, la regla general de la no suspensión (por todos, ATC 307/1999, de 13 de diciembre, FJ 1),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(seis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la pena impuesta es de corta duración, que se trata de un delincuente primario), no se aprecia que acceder a la suspensión solicitada ocasione una lesión específica y grave del interés general, más allá de aquélla que de por sí produce la no ejecución de un fallo judicial (AATC 163/1996, 419/1997, 48/1998, 262/1998,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respecto de los demás pronunciamientos condenatorios ha de denegarse la suspensión solicitada.</w:t>
      </w:r>
    </w:p>
    <w:p w:rsidRPr="00C21FFE" w:rsidR="00AD51A7" w:rsidRDefault="00AD51A7">
      <w:pPr>
        <w:rPr/>
      </w:pPr>
      <w:r w:rsidRPr="&lt;w:rPr xmlns:w=&quot;http://schemas.openxmlformats.org/wordprocessingml/2006/main&quot;&gt;&lt;w:lang w:val=&quot;es-ES_tradnl&quot; /&gt;&lt;/w:rPr&gt;">
        <w:rPr/>
        <w:t xml:space="preserve">En cuanto a la pena de inhabilitación especial para el ejercicio de la profesión de promotor, ha de recordarse —como destaca el Ministerio Fiscal— que este Tribunal tiene declarado que la ejecución de las penas de inhabilitación no causan perjuicios irreparables y que en la medida en que la inhabilitación se proyecte sobre la profesión u oficio cuyo ejercicio ha propiciado la actividad delictiva, debe estimarse su contenido como predominantemente patrimonial y la posibilidad consecuente de que, si bien de un modo más complejo que las relativas a la multa o al pago de las costas, sean directamente reparables los efectos derivados de la ejecución ante una hipotética estimación del amparo (AATC 144/1995, de 22 de mayo; 283/1995, de 23 de octubre; 25/2002, de 25 de febrero; 362/2003, de 10 de noviembre, y 49/2005 de 1 de febrero).</w:t>
      </w:r>
    </w:p>
    <w:p w:rsidRPr="00C21FFE" w:rsidR="00AD51A7" w:rsidRDefault="00AD51A7">
      <w:pPr>
        <w:rPr/>
      </w:pPr>
      <w:r w:rsidRPr="&lt;w:rPr xmlns:w=&quot;http://schemas.openxmlformats.org/wordprocessingml/2006/main&quot;&gt;&lt;w:lang w:val=&quot;es-ES_tradnl&quot; /&gt;&lt;/w:rPr&gt;">
        <w:rPr/>
        <w:t xml:space="preserve">Tampoco procede la suspensión de la condena en lo que se refiere a la pena de multa, de conformidad con el criterio anteriormente expuesto de que, por tratarse de condenas de contenido económico, los perjuicios anejos a su ejecución son perfectamente reparables en caso de estimarse el amparo (por todos, AATC 189/2000, 193/2000, 204/2000, 106/2002).</w:t>
      </w:r>
    </w:p>
    <w:p w:rsidRPr="00C21FFE" w:rsidR="00AD51A7" w:rsidRDefault="00AD51A7">
      <w:pPr>
        <w:rPr/>
      </w:pPr>
      <w:r w:rsidRPr="&lt;w:rPr xmlns:w=&quot;http://schemas.openxmlformats.org/wordprocessingml/2006/main&quot;&gt;&lt;w:lang w:val=&quot;es-ES_tradnl&quot; /&gt;&lt;/w:rPr&gt;">
        <w:rPr/>
        <w:t xml:space="preserve">Igualmente ha de denegarse, en el momento actual, la suspensión de la responsabilidad personal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245/1999, 61/2000, 41/2002).</w:t>
      </w:r>
    </w:p>
    <w:p w:rsidRPr="00C21FFE" w:rsidR="00AD51A7" w:rsidRDefault="00AD51A7">
      <w:pPr>
        <w:rPr/>
      </w:pPr>
      <w:r w:rsidRPr="&lt;w:rPr xmlns:w=&quot;http://schemas.openxmlformats.org/wordprocessingml/2006/main&quot;&gt;&lt;w:lang w:val=&quot;es-ES_tradnl&quot; /&gt;&lt;/w:rPr&gt;">
        <w:rPr/>
        <w:t xml:space="preserve">Finalmente, y en relación con la demolición de la nave construida, ha de tenerse en cuenta —como pone de manifiesto el Ministerio Fiscal— que no se trata de una vivienda, sino de una nave, cuyo uso industrial no está acreditado, como tampoco lo está en las resoluciones judiciales —ni en el trámite de alegaciones el recurrente se ha intentado acreditar nada al respecto— que la nave en cuestión se destine a una actividad económica cuya suspensión o eliminación como consecuencia de la demolición pudiera ocasionar perjuicios de carácter irreparable (ATC 154/2005, de 18 de abril, a sensu contrario), más allá del obvio perjuicio económico fácilmente reversible.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 Sentencia dictada por la Audiencia Provincial de Jaén, de 4 de diciembre de 2006, exclusivamente en lo referente a la pena privativa de libertad de seis meses de prisión.</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