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Víctor Franco Martínez.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noviembre de 2006 el Procurador de los Tribunales don Javier Cuevas Rivas, en nombre y representación de don Víctor Franco Martínez, interpuso recurso de amparo contra la Sentencia de la Sala de lo Penal del Tribunal Supremo de 4 de octubre de 2006, que confirma la Sentencia de la Sección Segunda de la Sala de lo Penal de la Audiencia Nacional de 30 de noviembre de 2005, por la que se condena al recurrente como autor de dos delitos de asesinato terrorista en grado de tentativa a la pena de diez años de prisión por cada uno, con la accesoria de dieciséis años de inhabilitación absoluta; como autor de un delito de daños a la pena de dos años de prisión, con la accesoria de nueve años de inhabilitación absoluta; debiendo indemnizar por vía de responsabilidad civil, conjunta y solidariamente con los otros acusados, a don Manuel Rodríguez López en la cantidad de 60 € por cada uno de los días en que estuvo incapacitado para sus ocupaciones habituales (496) y en la suma de 30.000 € en concepto de secuelas, a don César Garbancho Díaz en la cantidad de 60 € por cada uno de los días en que estuvo incapacitado para sus ocupaciones habituales (584) y en la suma de 60.000 € en concepto de secuelas, al representante legal de la entidad Uribe en la cantidad de 632,50 € por los desperfectos causados en el vehículo BI-9423-CH, al representante legal de la Policía autónoma vasca en la cantidad de 4.591,71 €, al funcionario de la Policía autónoma vasca núm. 57665 en la cantidad de 182,46 € y al representante de la entidad BBK en la cantidad a acreditar en ejecución de Sentencia por los desperfectos ocasionados en la sucursal núm. 5 de Portugalete; y al pago proporcional de las costas procesales con los otros condenados. </w:t>
      </w:r>
    </w:p>
    <w:p w:rsidRPr="00C21FFE" w:rsidR="00AD51A7" w:rsidRDefault="00AD51A7">
      <w:pPr>
        <w:rPr/>
      </w:pPr>
      <w:r w:rsidRPr="&lt;w:rPr xmlns:w=&quot;http://schemas.openxmlformats.org/wordprocessingml/2006/main&quot;&gt;&lt;w:lang w:val=&quot;es-ES_tradnl&quot; /&gt;&lt;/w:rPr&gt;">
        <w:rPr/>
        <w:t xml:space="preserve">En la demanda presentada se solicitaba por otrosí la suspensión de la ejecución de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marzo de 2009 la Sala Segunda del Tribunal Constitucional acordó admitir a trámite la demanda de amparo. Por otra providencia de esa misma fecha, la Sala acordó formar la correspondiente pieza separada de suspensión según lo solicitado por el recurrente y, de conformidad con lo prevenido en el art. 56 de la Ley Orgánica de este Tribunal, conceder un plazo común de tres días al Ministerio Fiscal y al solicitante de amparo para que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mediante escrito registrado en este Tribunal con fecha 12 de marzo de 2009, interesando se denegara la suspensión de las penas privativas de libertad impuestas. </w:t>
      </w:r>
    </w:p>
    <w:p w:rsidRPr="00C21FFE" w:rsidR="00AD51A7" w:rsidRDefault="00AD51A7">
      <w:pPr>
        <w:rPr/>
      </w:pPr>
      <w:r w:rsidRPr="&lt;w:rPr xmlns:w=&quot;http://schemas.openxmlformats.org/wordprocessingml/2006/main&quot;&gt;&lt;w:lang w:val=&quot;es-ES_tradnl&quot; /&gt;&lt;/w:rPr&gt;">
        <w:rPr/>
        <w:t xml:space="preserve">A tal fin argumentó que se habían impuesto en este caso al solicitante penas graves, díez años por cada delito de asesinato en grado de tentativa, además de dos años de prisión por el delito de daños, revistiendo los hechos delictivos gran trascendencia social al estar conectados con el terrorismo. No se pronunció, no obstante, el Fiscal sobre la pertinencia o no de adoptar dicha medida respecto del resto de los pronunciamientos condenatorios de la Sentencia dictada.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13 de marzo de 2009 tuvo entrada en el Registro de este Tribunal el escrito de alegaciones de la parte recurrente. En este se limitaba a ratificar la petición de suspensión articulada en su escrito de demanda, incidiendo en los perjuicios irreparables que se le podrían ocasionar en el caso de no accederse a dicha pretensión, teniendo en cuenta que había cumplido en la actualidad cerca de la mitad de la pena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decisión sobre la suspensión de las resoluciones judiciales de condena a penas privativas de libertad ha de ponderar, entre otros criterios,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19/2008, de 22 de enero, y 45/2008, de 11 de febrero). En esta misma Jurisprudencia está igualmente subrayado que, entre todas esas circunstancias, adquiere especial significación la duración de la pena impuesta en cuanto traduce la importancia del bien jurídico tutelado y la trascendencia social del delito y, en consecuencia, la magnitud del interés general en su ejecución, siendo criterio general de este Tribunal, que esta recogido en abundantes resoluciones (por todas, ATC 418/2007, de 5 de noviembre, FJ 1), la no suspensión de condenas a penas privativas de libertad superiores a cinco años" (ATC 174/2008, de 23 de junio, FJ 1).</w:t>
      </w:r>
    </w:p>
    <w:p w:rsidRPr="00C21FFE" w:rsidR="00AD51A7" w:rsidRDefault="00AD51A7">
      <w:pPr>
        <w:rPr/>
      </w:pPr>
      <w:r w:rsidRPr="&lt;w:rPr xmlns:w=&quot;http://schemas.openxmlformats.org/wordprocessingml/2006/main&quot;&gt;&lt;w:lang w:val=&quot;es-ES_tradnl&quot; /&gt;&lt;/w:rPr&gt;">
        <w:rPr/>
        <w:t xml:space="preserve">La aplicación al supuesto que aquí se examina de la doctrina referida conduce a denegar la suspensión de las penas privativas de libertad impuestas al solicitante de amparo, no obstante el tiempo que resta de cumplimiento, dada su elevada duración, habiendo sido condenado hasta un total de veintidós años de prisión por los delitos mencionados de asesinato terrorista en grado de tentativa y daños, cometidos mediante el empleo de la violencia con graves consecuencias en la integridad física de las víctimas, por lo que en este caso debe prevalecer el interés general inherente al cumplimiento de dichas penas frente al particular del recurrente de amparo</w:t>
      </w:r>
    </w:p>
    <w:p w:rsidRPr="00C21FFE" w:rsidR="00AD51A7" w:rsidRDefault="00AD51A7">
      <w:pPr>
        <w:rPr/>
      </w:pPr>
      <w:r w:rsidRPr="&lt;w:rPr xmlns:w=&quot;http://schemas.openxmlformats.org/wordprocessingml/2006/main&quot;&gt;&lt;w:lang w:val=&quot;es-ES_tradnl&quot; /&gt;&lt;/w:rPr&gt;">
        <w:rPr/>
        <w:t xml:space="preserve">La no suspensión de estas penas privativas de libertad debe conllevar la no suspensión de las penas accesorias de inhabilitación absoluta, al ser doctrina de este Tribunal la de que las penas accesorias deben seguir la suerte de la pena principal.  (entre otros, AATC 286/2007, de 18 de junio y 44/2008,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del resto de los pronunciamiento de la Sentencia, este Tribunal también ha establecido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es legalmente posible, si se otorgara posteriormente el amparo, que el recurrente obtenga la devolución de lo pagado en ejecución de la Sentencia (en este sentido, AATC 291/2004, de 19 de julio, y 241/2005, de 6 de junio). Por lo que procede, en este caso, denegar la suspensión interesada de las diversas cantidades fijadas en concepto de responsabilidad civil, por las lesiones sobrevenidas a las víctimas y los daños causados, máxime cuando el recurrente no aduce razón alguna que justifique la procedencia de dicha medida, en atención a los perjuicios patrimoniales difícilmente reparables por su entidad o por la irreversibilidad de las situaciones jurídicas que pudieran producirse.</w:t>
      </w:r>
    </w:p>
    <w:p w:rsidRPr="00C21FFE" w:rsidR="00AD51A7" w:rsidRDefault="00AD51A7">
      <w:pPr>
        <w:rPr/>
      </w:pPr>
      <w:r w:rsidRPr="&lt;w:rPr xmlns:w=&quot;http://schemas.openxmlformats.org/wordprocessingml/2006/main&quot;&gt;&lt;w:lang w:val=&quot;es-ES_tradnl&quot; /&gt;&lt;/w:rPr&gt;">
        <w:rPr/>
        <w:t xml:space="preserve">Esta doctrina resulta igualmente aplicable a la condena en costas procesales, pues, al entrañar un pago en dinero, su ejecución no provoca ningún perjuicio que pueda hacer inútil el recurso de amparo (por todos, ATC 395/2008, de 22 de diciembre,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Víctor Franco Martínez.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