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4793-2009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Juan María Igarataundi Peñagaricano en el recurso de amparo núm. 4793-2009.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22 de mayo de 2009, el Procurador de los Tribunales don Javier Cuevas Ribas, en nombre y representación de don Juan María Igarataundi Peñagaricano, interpuso recurso de amparo contra la providencia de 3 de marzo de 2009, dictada por la Sección Primera de la Sala de lo Penal de la Audiencia Nacional, en la ejecutoria núm. 25-1988, dimanante del sumario núm. 25-1988 procedente del Juzgado Central de Instrucción núm. 1, por el que se aprueba la fecha de licenciamiento definitivo del recurrente, y contra el Auto de 1 de abril de 2009 de la misma Sala y Sección, que desestima el recurso de súplica interpuesto y confirma la providencia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de amparo fue condenado a diversas penas privativas de libertad cuya suma supera los treinta años de duración, si bien, de conformidad con el art. 70 del Código penal de 1973, una vez operada la oportuna refundición de condenas, éste es el límite máximo de cumplimiento efectivo.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3 de marzo de 2009, la Sección Primera de la Sala de lo Penal de la Audiencia Nacional dictó providencia aprobando el licenciamiento definitivo del penado para el día 6 de junio de 2017.</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c) Contra dicha providencia interpuso el demandante recurso de súplica, que fue desestimado por Auto de 1 de abril de 2009 que, del mismo modo que la providencia impugnada, se sustenta en el criterio iniciado por la Sala de lo Penal del Tribunal Supremo con la Sentencia 197/2006, de 28 de febrero, con arreglo al cual el beneficio de redención de penas por el trabajo consagrado en el art. 100 del Código penal de 1973 ha de aplicarse, no a ese máximo de cumplimiento de treinta años, sino a cada una de las penas impuestas en las diversas causas.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vulnerado los derechos a la igualdad (art. 14 CE), a la libertad (art. 17 CE), a la tutela judicial efectiva (art. 24 CE), así como los principios de seguridad jurídica e irretroactividad (art. 9.3 CE), el principio de legalidad (art. 25.1 CE) y al principio de que las penas privativas de libertad han de estar orientadas hacia la reeducación y reinserción social (art. 25.2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segundo, el recurrente solicitaba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4. La Sala Segunda de este Tribunal, por providencia de 14 de abril de 2011, acordó admitir a trámite la demanda de amparo y, en aplicación de lo dispuesto en el art. 51 de la Ley Orgánica del Tribunal Constitucional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igual fecha, se acordó formar la oportuna pieza para la tramitación del incidente de suspensión y, de conformidad con lo dispuesto en el art. 56.4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citado trámite a través de un escrito presentado en el Registro General de este Tribunal el 3 de mayo de 2011, en el que reiteró su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presentado el 17 de mayo de 2011, pide que se deniegue la suspensión solicitada, en atención al criterio seguido por este Tribunal en el ATC 206/2010, de 30 de diciembre, que resolvió una petición dimanante de un recurso sustancialmente igual al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fecha 18 de enero de 2012, la Sala Segunda de este Tribunal, acordó la avocación al Pleno,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ha quedado expuesto, el recurrente en amparo impugna la providencia de la Sección Primera de la Sala de lo Penal de la Audiencia Nacional de 3 de marzo de 2009 así como el Auto de 1 de abril de 2009 desestimó el recurso de súplica presentado y confirmó la providencia. De modo que las resoluciones judiciales recurridas en amparo no son aquellas que impusieron las penas privativas de libertad sino las que aprobaron el licenciamiento definitivo del penado aplicando el criterio jurisprudencial acogido por la Sala de lo Penal del Tribunal Supremo a partir de su Sentencia 197/2006,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lo que el recurrente pretende es que este Tribunal acuerde cautelarmente su inmediata puesta en libertad en tanto se resuelva el recurso de amparo y, en consecuencia, se pronuncie sobre si el recurrente habría cumplido ya su condena el día 9 de abril de 2009 (según sostiene el demandante) o si, en cambio, no la extingue hasta el día 6 de junio de 2017 (como es el criterio de las resoluciones impugnadas), pues lo contrario, añade el recurrente, le produciría un perjuicio irreparable, en el caso de otorgarse finalmente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dijimos en el ATC 214/2007, de 16 de abril, dictado en un caso similar, “ponderando los intereses en juego en los términos anteriormente expuestos, este Tribunal entiende que ha de prevalecer el interés general en mantener la eficacia de las resoluciones judiciales, a la vista de la gravedad de los hechos por los que el recurrente se encuentra cumpliendo condena y de las penas impuestas, como pone de relieve el Ministerio Fiscal, así como de la lejanía del tiempo de cumplimiento definitivo de la misma en la apreciación llevada a cabo por las resoluciones impugnadas, lo que determinaría que la pérdida de la finalidad del amparo, caso de otorgarse el mismo, sería sólo parcial y puede atemperarse otorgando al recurso una tramitación preferente” (FJ 3). A lo anterior se añade la circunstancia de que la puesta en libertad del recurrente supondría, al menos parcialmente, un otorgamiento anticipado del amparo que se solicita, lo que desnaturalizaría el carácter cautelar de la medida (por todos, AATC 132/1982, de 31 de marzo, FJ único; 292/2005, de 4 de julio, FJ 2; 3/2006, de 16 de enero, FJ 2; 3/2011, de 14 de febrero, FJ único; o 92/2011, de 20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Juan María Igarataundi Peñagaricano en el recurso de amparo núm. 4793-2009.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