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8345-2006, promovido por don Luis María Azkargorta Belategui, representado por el Procurador de los Tribunales don José Javier Cuevas Rivas y asistido por la Abogada doña Ainhoa Baglietto Gabilondo, contra la providencia de 16 de junio de 2006 y el Auto de 11 de julio de 2006 dictados por la Sección Segunda de la Sala de lo Penal de la Audiencia Nacional en la ejecutoria núm. 67-1992. Ha intervenido el Ministerio Fiscal.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septiembre de 2006, el Procurador de los Tribunales don José Javier Cuevas Rivas, en nombre y representación de don Luis María Azkargorta Belategui,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Azkargorta Belategui fue condenado por la Sala de lo Penal de la Audiencia Nacional, Sección Segunda, mediante Sentencia de 15 de junio de 1990 (rollo de Sala núm. 33-1990, sumario núm. 42-1984 del Juzgado Central de Instrucción núm. 2), a las penas de veinte años de reclusión menor por un delito de atentado con resultado de muerte, once años de prisión mayor por un delito de asesinato frustrado y seis años de prisión menor por un delito de terrorismo con resultado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fue condenado por la misma Sala y Sección en Sentencia de 12 de marzo de 1992 (rollo de Sala núm. 11-1992, sumario núm. 43-1988 del Juzgado Central de Instrucción núm. 2), a la pena de siete años de prisión mayor por un delito de colaboración con banda armada.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condenas fueron acumuladas por Auto de la misma Sala y Sección de 7 de octubre de 1996, que refundió dichas condenas y fijó para su cumplimiento total la duración de treinta años de privación de libertad. Dicho Auto alcanzó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la Sección Segunda de la Sala de lo Penal de la Audiencia Nacional de 11 de julio de 1996, asimismo firme, se acordó que no procedía conforme al nuevo Código penal de 1995 (CP 1995) revisar las penas impuestas al señor Azkargorta Belategui.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5 de diciembre de 1996 se practicó por el centro penitenciario en el que a la sazón se encontraba interno el señor Azkargorta Belategui liquidación provisional de condena, en la que se incluyen los cálculos de redenciones ordinarias y extraordinarias hasta el 25 de mayo de 1996, fijándose como fecha prevista para el cumplimiento de la condena de treinta años el 29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señor Azkargorta Belategui permaneció en situación de libertad condicional desde el 7 de enero de 2003 al 26 de noviembre de 2003 en virtud del Auto del Juzgado de Vigilancia Penitenciaria de 23 de diciembre de 2002, que fue revocado por Auto de la Sección Segunda de la Sala de lo Penal de la Audiencia Nacional de 20 de noviembre de 2003, produciéndose su reingreso en prisión el siguiente día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la misma Sala y Sección de 4 de febrero de 2004 se ordenó practicar nueva liquidación de condena al señor Azkargorta Belategui, en la que se incluya el periodo antes señalado de libertad condicional como de cumplimiento. Practicada la liquidación de condena, fue aprobada por providencia de la Sección Segunda de la Sala de lo Penal de la Audiencia Nacional de 13 de febrero de 2004, en la que se fija como fecha prevista para el cumplimiento de la condena de treinta años el 1 de mayo de 2017, sin redenciones. No obstante, la Sección ordena nueva liquidación por existir errores en la precedente (error en la fecha de inicio de la prisión preventiva abonable y duplicidad de abono del periodo en el que permaneció en libertad condicional), nueva liquidación que se practica el 16 de marzo de 2004, fijando como fecha prevista para el cumplimiento de la condena de treinta años el 13 de abril de 2018, sin redenciones, siendo aprobada esta liquidación por providencia de 25 de marzo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26 de abril de 2006 el centro penitenciario de Zuera (Zaragoza) se dirigió a la Sección Segunda de la Sala de lo Penal de la Audiencia Nacional en consulta acerca de si debía aplicarse al señor Azkargorta Belategui el criterio sentado por la Sentencia de la Sala de lo Penal del Tribunal Supremo núm. 197/2006, de 28 de febrero, conforme al cual, en caso de penas acumuladas, la redención de penas por el trabajo obtenida ha de computarse sobre cada una de las penas impuestas y no sobre el límite máximo de cumplimiento que pudiera haberse fijado, en cuyo caso la fecha de cumplimiento sería el 13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16 de junio de 2006 la Sección Segunda de la Sala de lo Penal de la Audiencia Nacional comunicó al centro penitenciario de Zuera que, de conformidad con el criterio establecido por la Sentencia de la Sala de lo Penal del Tribunal Supremo núm. 197/2006, de 28 de febrero, para la liquidación de condena del penado señor Azkargorta Belategui procede aplicar las redenciones (tanto ordinarias como extraordinarias) en cada pena por cada delito, sin perjuicio de los límites establecidos por el art. 70, regla 2, del Código penal de 1973 (en adelante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anterior proveído interpuso recurso de súplica el señor Azkargorta Belategui contra el anterior proveído, en el que, invocando la vulneración de los principios de irretroactividad de las normas penales desfavorables y seguridad jurídica (art. 9.3 CE), del principio de igualdad (art. 14 CE), del derecho a la libertad (art. 17 CE), del derecho a la tutela judicial efectiva en la vertiente de intangibilidad de las resoluciones judiciales firmes (art. 24.1 CE), y del principio de legalidad penal (art. 25.1 CE), y rechazando la aplicación del criterio de la Sentencia de la Sala de lo Penal del Tribunal Supremo núm. 197/2006, de 28 de febrero, interesaba que se fijase como fecha de cumplimiento definitivo de los treinta años de condena el 8 de octubre de 2007. El recurso fue desestimado por Auto de 11 de julio de 2006, en el que se rechaza que la aplicación al caso del criterio sentado por la citada Sentencia haya ocasionado vulneración alguna de los derechos fundamentales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los siete motivos o quejas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a la tutela judicial efectiva sin indefensión (art. 24.1 CE) y de los derechos a la defensa, a ser informado de la acusación y a un proceso con todas las garantías (art. 24.2 CE), así como de los derechos reconocidos por los arts. 6 y 13 del Convenio europeo para la protección de los derechos humanos y las libertades fundamentales (CEDH) y por el art. 14.1 y 5 del Pacto internacional de derechos civiles y políticos (PIDCP), todo ello en relación con el derecho a la libertad (art. 17 CE). Sostiene el recurrente que la Audiencia Nacional acordó en la providencia impugnada la aplicación de la nueva doctrina de la Sala de lo Penal del Tribunal Supremo sentada en la Sentencia núm. 197/2006, de 28 de febrero, que establece un nuevo criterio en cuanto al cómputo de las redenciones por trabajo que empeoraba la situación del reo y obliga al cumplimiento íntegro de la condena de treinta años, decisión de la que el recurrente no ha podido defenderse ni someterla a contradicción. Entiende además que ello vulnera el principio acusatorio, porque el órgano judicial asume funciones acusatorias constitucionalmente vedadas que comprometen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aduce la vulneración del principio de legalidad (art. 25 CE, en relación con el art. 9.3 CE), por la interpretación realizada por la Audiencia Nacional de los arts. 70.2 y 100 CP 1973, así como de los arts. 66 del reglamento de prisiones de 1956 y del art. 202 del reglamento penitenciario actual. Según el recurrente la interpretación sentada por la Sala de lo Penal del Tribunal Supremo en su Sentencia núm. 197/2006, de 28 de febrero, y aplicada en el presente caso por la Audiencia Nacional,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amparo denuncia el recurrente la vulneración del derecho a la tutela judicial efectiva sin indefensión (art. 24.1 CE) en la vertiente de intangibilidad de las resoluciones judiciales firmes, en relación con el derecho a la libertad (art. 17 CE). Sostiene el recurrente que la nueva interpretación del cómputo de las redenciones sobre la totalidad de la condena que realiza la Sala de lo Penal del Tribunal Supremo en su Sentencia núm. 197/2006, de 28 de febrero, aplicada en su caso por la Audiencia Nacional en las resoluciones impugnadas en amparo, le genera indefensión e inseguridad jurídica, puesto que las redenciones aprobadas por los Juzgados de Vigilancia Penitenciaria, intangibles y firmes, aplicadas (como se venía haciendo) al tope de treinta años, suponían un importante acortamiento de su condena. El trabajo y los estudios en la prisión se realizaron por el recurrente en la confianza de que las redenciones así obtenidas implicarían un acortamiento del tiempo de permanencia en prisión, como en el caso de la STC 76/2004, habiéndose generado una expectativa de dicho acortamiento con fundamento en la actuación de los órganos judiciales hasta 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aduce la lesión del principio de legalidad (art. 25.1 CE, en relación con el art. 9.3 CE, así como el art. 7 CEDH y el art. 15 PIDCP), por aplicación retroactiva de una ley desfavorable. Se denuncia por el recurrente que las resoluciones judiciales impugnadas, al seguir el nuevo criterio establecido por la Sala de lo Penal del Tribunal Supremo en su Sentencia núm. 197/2006, de 28 de febrero, están aplicando retroactivamente el art. 78 CP 1995 a un penado bajo el Código penal de 1973, que el recurrente considera como ley más favorable, en la medida en que las redenciones incidían sobre la liquidación de condena, acortando el tiempo de internamiento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quinto motivo de amparo se alega la lesión del derecho a la igualdad en la aplicación de la ley (art. 14 CE), en relación con el art. 14 CEDH. Denuncia el recurrente que las resoluciones judiciales impugnadas incurren en un injustificado y arbitrario cambio de criterio al aplicar la Sentencia de la Sala de lo Penal del Tribunal Supremo núm. 197/2006, de 28 de febrero, que rompe con la jurisprudencia anterior al respecto, en un momento en que el Código penal de 1973 ya está derogado y resulta aplicable a un número muy limitado de internos, sin que existan razones que justifiquen dicho cambio de criterio. Se afirma que se trata de cambio de criterio ad personam, constitucionalmente vedado, del que resulta que al recurrente se le deniega de manera discriminatoria lo que a otros muchos presos se les concedió.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sexto motivo de amparo se alega la vulneración del derecho a la libertad (art. 17.1 CE), en relación con los arts. 5 y 7.1 CEDH y los arts. 9.1 y 5 y 15.1 PIDCP. Tras resaltar que, conforme a la doctrina de este Tribunal, la redención de penas por el trabajo afecta al derecho a la libertad personal, se sostiene por el recurrente, con cita del Voto particular a la Sentencia de la Sala de lo Penal del Tribunal Supremo núm. 197/2006, de 28 de febrero, que el mencionado cambio de criterio jurisprudencial contra reo que dicha Sentencia introduce, y que ha sido aplicado en su caso por las resoluciones judiciales impugnadas, modifica su expectativa de libertad, implicando un alargamiento de su estancia en prisión hasta el cumplimiento de los treinta años íntegros de condena, sin fundamento jurídico alguno y vaciando absolutamente de contenido la institución de la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recurrente alega la vulneración del art. 25.2 CE, en relación con las “Reglas mínimas para tratamiento de los reclusos” elaboradas en el primer Congreso de las Naciones Unidas sobre prevención del delito y tratamiento del delincuente (Ginebra, 1955) y el art. 10.3 PIDCP. Se aduce que, de conformidad con el art. 25.2 CE y la citada normativa internacional, las penas privativas de libertad han de estar orientadas a la reinserción social, fin al que se orienta la redención de penas por el trabajo como instrumento de tratamiento penitenciario, principios y normas que resultan vulnerados por la interpretación realizada por el Tribunal Supremo en su Sentencia núm. 197/2006, de 28 de febrero, aplicada por la Audiencia Nacional en las resoluciones impugnadas en amparo, al dejar sin efecto útil alguno la redención de penas y la libertad condicional en presos con condenas superiores a cuarenta y cinco años (conforme a los cálculos realizados por el propio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septiembre de 2007 la Sala Primera de este Tribunal acordó la admisión a trámite de la demanda de amparo y, a tenor de lo dispuesto en el art. 51 de la Ley Orgánica del Tribunal Constitucional (LOTC), requerir atentamente a la Sección Segunda de la Sala de lo Penal de la Audiencia Nacional para que en el plazo de diez días remitiera testimonio de la en la ejecutoria núm. 67-1992, interesándose al propio tiempo el emplazamiento de quienes fueron parte en el procedimiento, a excepción del demandante de amparo, ya personado, para que pudieran comparecer en el plazo de diez días en el presente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22 de noviembre de 2007 se tuvo por recibido el testimonio de las actuaciones remitido por la Sección Segunda de la Sala de lo Penal de la Audiencia Nacional, y se procedió, conforme a lo establecido en el art. 52.1 LOTC, a dar vista de las actuaciones por plazo común de veinte días al Ministerio Fiscal y a la representación procesal del recurrente en amparo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en este Tribunal el 26 de diciembre de 2007, en el que viene a ratificarse en las formuladas en la demanda de amparo, que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este Tribunal el 14 de enero de 2008. Comienza el Fiscal resumiendo los motivos de la demanda de amparo numerados como segundo, tercero y sexto, pues, a su juicio, entendidos en su conjunto, dichos motivos constituyen la médula del amparo que se solicita, mientras que los motivos de amparo restantes carecen de fundamento y deben ser rechazados, según el Fiscal,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carece de fundamento la queja del recurrente referida a la infracción del derecho a la tutela judicial efectiva, a la que asocia la de sus derechos de defensa, a ser informado de la acusación, a un proceso público y con todas las garantías y a un juicio justo, todo ello en relación con el derecho a la libertad, porque la Audiencia Nacional no le dio trámite de audiencia antes de dictar la providencia que acordó la aplicación de la nueva doctrina establecida por la Sala de lo Penal del Tribunal Supremo en su Sentencia núm. 197/2006, de 28 de febrero (motivo de amparo primero), pues lo cierto es que el recurrente tuvo la efectiva oportunidad de ser oído al interponer su recurso de suplica contra la providencia de 16 de junio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tampoco vulneración del principio de legalidad penal conectado al de irretroactividad de las normas penales y restrictivas de derechos (motivo de amparo cuarto), pues no tiene fundamento alguno sostener que se han vulnerado dichos principios de irretroactividad de la ley penal por haber hecho aplicación del contenido del art. 78 CP 1995 bajo el ropaje aparente del art. 70.2 CP 1973, toda vez que el precepto que se ha aplicado ha sido siempre el art. 70.2 CP 1973, de vigencia al tiempo de comisión de los hechos, y sobre el que ha recaído la interpretación sentada en la Sentencia de la Sala de lo Penal del Tribunal Supremo núm. 197/2006, de 28 de febrero, y no el art. 78 CP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apreciar lesión del derecho fundamental a la igualdad en la aplicación de la ley que garantiza el art. 14 CE (motivo de amparo quinto), ante todo porque el órgano judicial que ha dictado las resoluciones impugnadas en amparo es distinto del que ha dictado la Sentencia cuya doctrina ha generado, supuestamente, la situación personal discriminatoria; y, en segundo término porque, aun cuando hubiera existido en la Sala de lo Penal del Tribunal Supremo el criterio de apartarse de una anterior línea jurisprudencial uniforme, no cabe sino reconocer que la Sentencia en cuestión se fundamenta en un conjunto de razonamientos en interpretación de la legalidad aplicable al caso que, desde la perspectiva de la racionalidad, justifican dicho eventual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también debe ser rechazada la pretendida vulneración del art. 25.2 CE (motivo séptimo y último de amparo), entre otras razones porque, como reiteradamente ha destacado este Tribunal, dicho precepto constitucional no contiene un derecho fundamental del ciudadano susceptible de ser invocado en amparo, sino más bien un mandato dirigido al legislador para orientar la política penal y penitenciaria con objeto de que configure las sanciones penales para que cumplan estos fines de reinserción y rehabilitación establecidos en la Constitución, sin que se deriven derechos subjetivos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 que resulta relevante según el Fiscal, como se desprende de los motivos segundo, tercero y sexto de la demanda de amparo, aunque ciertamente el recurrente no exponga la cuestión con la deseable claridad, es la aplicación del nuevo criterio jurisprudencial surgido de la citada Sentencia de la Sala de lo Penal del Tribunal Supremo núm. 197/2006, de 28 de febrero, a situaciones ya reconocidas por resoluciones firmes, en referencia al Auto de 7 de octubre de 1996 de la Sección Segunda de la Sala de lo Penal de la Audiencia Nacional que refundió las condenas impuestas al recurrente y señaló como pena única a cumplir la de treinta años, así como a las liquidaciones de condena que siguieron a ese Auto con aplicación de las redenciones que se iban produciendo (antes de dictarse las resoluciones judiciales impugnadas en amparo), lo que resulta perjudicial para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firmeza de las referidas resoluciones impide, a juicio del Fiscal, la revisión de ese criterio en virtud de una jurisprudencia posterior porque ello rompe con las legítimas expectativas del intento y lesiona su derecho a la intangibilidad de las resoluciones judiciales firmes, que forma parte del derecho a la tutela judicial efectiva garantizado por el art. 24.1 CE, y supone asimismo una interpretación retroactiva desfavorable para el reo en la ejecución de las penas, lo que determina la vulneración del principio de legalidad penal (art. 25.1 CE). A estas vulneraciones debe añadirse, según el Fiscal, y como consecuencia inexcusable de las mismas, la vulneración del derecho a la libertad personal (art. 17.1 CE), por cuanto el recurrente, en vez de obtener en la fecha prevista el licenciamiento definitivo de su condena, lo obtendría en fecha muy posterior por aplicación de esa nueva y desfavorable interpretación de la normativa realizada por la Sala de lo Penal del Tribunal Supremo en su Sentencia núm. 197/2006, de 28 de febrero, aplicada por la Audiencia Nacional en las resoluciones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Fiscal interesa la estimación del amparo en lo referente a declarar vulnerado el derecho a la tutela judicial efectiva en su vertiente intangibilidad de las resoluciones judiciales firmes (art. 24.1 CE), en conexión con el derecho a la irretroactividad de interpretaciones desfavorables para el reo (art. 25.1 CE) y el derecho a la libertad personal (art. 17 CE), procediendo desestimar la demanda de amparo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del otorgamiento del amparo ha de ser, según el Fiscal, la anulación de la providencia y Auto impugnados, para que se dicte nueva resolución por la Sección Segunda de la Sala de lo Penal de la Audiencia Nacional que resuelva sobre el licenciamiento definitivo del recurrente respetando los derechos fundamentales que han sido vulnerados, lo que comporta que la liquidación de condena y la fecha de licenciamiento definitivo del recurrente debe quedar fijada de conformidad con el criterio interpretativo que en su momento señaló el Auto de 7 de octubre de 1996 y la propuesta de liquidación provisional formulada por el centro penitenciario de Huesca el 5 de diciembre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junio de 2011 el Pleno, de conformidad con lo establecido en el art. 10.1 n) LOTC y a propuesta de la Sala Primera,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2012, se acordó señalar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11 de julio de 2006 de la Sección Segunda de la Sala de lo Penal de la Audiencia Nacional, que desestimó el recurso de súplica presentado contra la anterior providencia de 16 de junio de 2006 por la que se acordó que para la liquidación de condena del recurrente procede aplicar las redenciones (tanto ordinarias como extraordinarias) en cada pena por cada delito, sin perjuicio de los límites establecidos por el art. 70, regla 2, del Código penal (CP) de 1973, de conformidad con el criterio de la Sentencia núm. 197/2006, de 28 de febrero, de la Sala de lo Penal del Tribunal Supremo. Según dicha Sentencia, en caso de penas acumuladas la redención de penas por el trabajo obtenida ha de computarse sobre cada una de las penas impuestas y no sobre el límite máximo de cumplimiento que pudiera haberse fijado. Con ello el Tribunal sentenciador viene a ratificar su decisión precedente de aprobar como fecha de cumplimiento definitivo de la condena impuesta al recurrente el 13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la defensa, a ser informado de la acusación y a un proceso con todas las garantías (art. 24.2 CE), a la legalidad de las infracciones y sanciones (art. 25.1 y 2 CE), a la libertad personal (art. 17.1 CE) y a la igualdad en la aplicación de la ley (art. 14 CE), con la argumentación que ha quedado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apoya la estimación del recurso de amparo, por entender que la aplicación del nuevo criterio jurisprudencial fijado en la referida Sentencia núm. 197/2006 de la Sala de lo Penal del Tribunal Supremo supone la vulneración de los derechos fundamentales consagrados en los arts. 17.1, 24.1 y 25.1 CE, por afectar a situaciones ya reconocidas por resoluciones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reflejado con detalle en los antecedentes, bajo la invocación de los derechos a la tutela judicial efectiva sin indefensión (art. 24.1 CE), a la defensa, a ser informado de la acusación y a un proceso con todas las garantías (art. 24.2 CE), se denuncia por el demandante de amparo, en primer lugar, la supuesta indefensión que le habría producido el hecho de que la primera de las resoluciones recurridas —la providencia de 16 de junio de 2006— se adoptó sin haberle dado audiencia previa, pese a que la propuesta del centro penitenciario en el que se hallaba interno ofrecía una fecha de licenciamiento definitivo más favorable, cuestión esta que afecta decisivamente a su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la queja tiene base fáctica, pues la secuencia procesal descrita por el demandante fue la seguida por el Tribunal encargado de la ejecución de las penas impuestas; sin embargo ha de ser inadmitida, al concurrir respecto de ella el óbice procesal consistente en la falta de invocación ante los órganos de la jurisdicción ordinaria [art. 44.1 c) de la Ley Orgánica del Tribunal Constitucional]. En efecto, de la mera lectura del recurso de súplica interpuesto contra la providencia dictada en fase de ejecución el 16 de junio de 2006 se desprende que el recurrente articuló una serie de motivos de impugnación para oponerse a esa nueva perspectiva jurídica en el cómputo de las redenciones (lo que, como bien señala el Ministerio Fiscal, excluiría por sí mismo la indefensión alegada), pero no denunció entonces indefensión alguna por el motivo ahora analizado, por lo que esta queja se trae en amparo sin haber dado oportunidad de pronunciarse sobre la misma al órgano judicial.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presentación de la demanda de amparo ante este Tribunal, ha de darse oportunidad a los órganos judiciales de reparar la vulneración supuestamente cometida a través del planteamiento en el proceso judicial del problema constitucional que es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restantes motivos de amparo, alegando siempre que su libertad personal se ha visto ilegítimamente afectada, denuncia el recurrente desde diversas perspectivas constitucionales la cuestión de fondo, esto es, la aplicación a las condenas privativas de libertad que cumple de un nuevo criterio jurisprudencial, adoptado por el Tribunal Supremo en la interpretación de los arts. 70.2 y 100 CP 1973 y preceptos concordantes del reglamento penitenciario, en relación con el cómputo de la redención de penas por trabajo en penas acumuladas a las que se ha fijado, según prevé el Código penal, un límite máximo de cumplimiento; en este caso de treinta años de prisión. Según se afirma en la demanda de amparo, frente al criterio anterior reiteradamente aplicado por los órganos judiciales, conforme al cual los días redimidos se descontaban del límite máximo de cumplimiento una vez operada la refundición o acumulación de condenas, la Sala de lo Penal del Tribunal Supremo, en la Sentencia núm. 197/2006, de 28 de febrero, estableció que el beneficio de la redención de penas por el trabajo reconocido en el art. 100 CP 1973 ha de aplicarse no a ese máximo de cumplimiento, sino a cada una de las penas impuestas en las diversas condenas, de modo que la forma de cumplimiento de las condenas impuestas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y como quedó reflejado en los antecedentes, el recurrente denuncia en los motivos segundo, cuarto, quinto y sexto de su demanda la supuesta vulneración del principio de legalidad penal —desde la doble perspectiva de la ilegitimidad del nuevo criterio interpretativo y la aplicación retroactiva de una ley desfavorable (art. 25.1 CE)— y del principio de igualdad en la aplicación de la ley (art.14 CE), en relación con su derecho a la libertad personal (art. 17.1 CE), dado que se trata del cumplimiento de una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quejas deben ser rechazadas, dado que el contenido de los derechos alegados no tiene el alcance expresado por el recurrente, conforme seguidamente se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hemos de destacar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ya reconocida, sin que de la interpretación sometida a nuestro enjuiciamiento se derive ni el cumplimiento de una pena mayor que la prevista en los tipos penales aplicados, ni la superación del máximo de cumplimiento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caso Grava c. Italia, § 51, en un supuesto referido a la condonación de la pena citando, mutatis mutandis, el caso Hogben c. Reino Unido, núm. 11653/1985, y la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ser rechazada la queja que se formula como segundo motivo de amparo, en el que se aduce la vulneración del principio de legalidad penal (art. 25.1 CE) por la interpretación realizada por el Tribunal sentenciador en las resoluciones impugnadas de los arts. 70.2 y 100 CP 1973, así como de los arts. 66 del reglamento de prisiones de 1956 y del art. 202 del reglamento penitenciario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rechazarse la denunciada vulneración (motivo de amparo cuarto) del derecho a la legalidad de las infracciones y sanciones (art. 25.1 CE) por aplicación retroactiva del art. 78 CP 1995 (tanto en su redacción inicial como en la dada al mismo por la Ley Orgánica 7/2003), bajo el ropaje aparente del art. 70.2 CP 1973. En aquel precepto el legislador establece que para determinados supuestos de acumulación de penas el Juez o Tribunal sentenciador “podrá acordar que los beneficios penitenciarios, los permisos de salida, la clasificación en tercer grado y el cómputo de tiempo para la libertad condicional se refieran a la totalidad de las penas impuestas en las sentencias” (art. 78.1 CP 1995), criterio que deviene obligatorio cuando se trata de penas especialmente graves aunque, no obstante, se prevean algunas excepciones que deberá valorar el Juez de vigilancia penitenciaria (art. 78.2 y 3 CP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el trabajo, puesto que dicha posibilidad desaparece en el Código penal de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que era posible a la vista del tenor literal de los arts. 70.2 y 100 CP 1973 y del art. 988 de la Ley de enjuiciamiento criminal (LECrim). Por tanto, teniendo en cuenta el razonamiento de los órganos judiciales y los preceptos que se aplican, la queja carece de fundamento,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 como acertadamente señala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colige también, por las razones expuestas, que el recurrente no ha sido privado de su libertad personal en supuestos distintos de los establecidos en la ley penal, lo que descarta la alegada vulneración del derecho a la libertad personal (art. 17.1 CE) que se alega en el sexto motivo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cambios de criterio jurisprudencial y su conformidad con la Constitución sí pueden ser cuestionados desde otras perspectivas. Una de ellas, alegada en la demanda de amparo (como quinto motivo), tiene que ver con el contenido del derecho a la igualdad en la aplicación de la ley (art. 14 CE). Sin embargo, tampoco desde esta perspectiva puede apreciarse en el presente caso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las resoluciones impugnadas, dictadas por la Audiencia Nacional, se limitan a aplicar la doctrina sentada por otro órgano judicial, el Tribunal Supremo, máximo intérprete de la ley, justificando razonadamente el cambio de criterio sobre la forma en el cómputo de las redenciones de penas por el trabajo en penas acumuladas, frente a otros supuestos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reiterada doctrina (entre otras muchas,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tercer motivo de amparo denuncia el recurrente que la aplicación de la nueva interpretación jurisprudencial que cuestiona (la establecida en la citada Sentencia de la Sala de lo Penal del Tribunal Supremo núm. 197/2006, de 28 de febrero), sobre la forma de cómputo de la redención de penas por el trabajo, le genera una situación de indefensión e inseguridad jurídica que vulnera su derecho a la tutela judicial efectiva, en cuanto garantiza la intangibilidad de las resoluciones judiciales firmes (art. 24.1 CE), y en relación con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referencia exacta a ninguna resolución judicial concreta anterior, aduce que la doctrina jurisprudencial que le ha sido aplicada modifica la interpretación que hasta entonces se venía haciendo y los derechos que de la misma derivaban. Afirma que realizó las tareas que justificaron la concesión de las redenciones con la convicción de que se descontarían del límite máximo de cumplimiento porque así aparecía en las propuestas de aprobación que formulaba la Administración al Juzgado de Vigilancia Penitenciaria. De tal situación deduce que han de mantenerse las redenciones aprobadas y que las mismas han de ser computadas en la forma que propone, pues no hacerlo es tanto como no reconocerles efectividad práctica, de suerte que el cumplimiento definitivo de su condena debería tener lugar el 8 de octubre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también este razonamiento del recurrente por considerar que no es de recibo que, establecidos en resolución judicial firme unos criterios de interpretación normativa para fijar la refundición de condena, puedan variarse tales criterios en virtud de una posterior resolución, en este caso de la Sala de lo Penal del Tribunal Supremo, que interpreta de otra manera las normas aplicables, como lo hacen las resoluciones judiciales ahora recurridas en amparo, rompiendo las legítimas expectativas del interno y lesionando así su derecho a la intangibilidad de las resoluciones judiciales firmes (art. 24.1 CE). La resolución judicial firme en la que considera el Fiscal que dichos criterios quedaron establecidos de forma intangible sería el Auto de 7 de octubre de 1996 que procedió a refundir las condenas impuestas al recurrente en amparo, fijando en treinta años el límite máximo de cumplimiento; resolución judicial a la que han seguido las liquidaciones de condena que aplicaban las redenciones que se iban produciendo.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queja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117.3 CE, corresponden en exclusiva a los órganos judiciales (por todas, STC 147/1988, de 14 de julio, FJ 2; en el mismo sentido, SSTC 237/1998, de 14 de diciembre, FJ 3; y 31/1999, de 8 de marzo, FJ 3). Nuestra función se limita, como hemos hecho al resolver los anteriores motivos de amparo,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Así se afirma expresamente, entre otras, en las citadas SSTC 219/2000, FJ 5; 151/2001, FJ 3; 163/2003, FJ 4; 15/2006, FJ 4; 231/2006, FJ 2; y 62/2010, FJ 4. En tal sentido hemos afirmado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doctrina citada, la intangibilidad de lo decidido en una resolución judicial firme no afecta sólo al contenido del fallo, sino que también se proyecta sobre aquellos pronunciamientos que constituyen ratio decidendi de la resolución, aunque no se trasladen al fallo (STC 15/2006, FJ 6) o sobre los que, aun no constituyendo el objeto mismo del proceso, resultan determinantes para la decisión adoptada (STC 62/2010,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tal y como ha sido alegado, la respuesta judicial obtenida por el recurrente en las resoluciones judiciales que son objeto del presente recurso de amparo, al aplicar el nuevo criterio de cómputo de las redenciones a las penas que extingue, ha supuesto, como afirman el recurrente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respuesta a la anterior cuestión ha de ser negativa pues, como veremos, el análisis de las resoluciones judiciales dictadas por el Tribunal sentenciador en el proceso de ejecución de las penas privativas de libertad impuestas al recurrente muestra que, antes de dictar las resoluciones judiciales impugnadas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recurrente y el Ministerio Fiscal, y hemos recogido en los antecedentes de esta resolución, una vez examinadas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Azkargorta Belategui fue condenado en junio de 1990 a las penas de veinte años de reclusión menor, once años de prisión mayor y seis años de prisión menor, tras ser considerado autor un delito de atentado con resultado de muerte, de un delito de asesinato frustrado y de un delito de terrorismo con resultado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también había sido condenado por la misma Sala y Sección de la Audiencia Nacional en otro proceso a pena de siete años de prisión mayor por delito de colaboración con banda armada, por hechos que pudieron ser objeto de uno sólo, el Tribunal sentenciador, por Auto de 7 de octubre de 1996, procedió a fijar en treinta años el límite máximo de cumplimiento de todas las condenas, de conformidad con lo dispuesto en los arts. 17.5 y 988 LECrim y el art. 70, regla 2,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lo que atañe al Auto de 11 de julio de 1996, ha de señalarse que este acordó no haber lugar a la revisión de las penas impuestas al demandante por considerar que, dados los hechos enjuiciados y las penas que le habían sido impuestas, no eran más favorables las previsiones punitivas del Código penal de 1995, y lo que ahora se destaca es que esa resolución se dictó con anterioridad a que se acordara la acumulación de condenas impuestas al demandante de amparo, de manera que el órgano judicial no pudo fijar un criterio sobre la forma de cómputo de redenciones en penas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del Tribunal sentenciador de 4 de febrero de 2004 se ordenó practicar liquidación de condena al señor Azkargorta Belategui, en la que se incluyese como de cumplimiento el periodo en el que se encontró en el año 2003 en libertad condicional. Practicada la liquidación de condena, fue aprobada por providencia de 25 de marzo de 2004, fijando como fecha prevista para el cumplimiento de la condena de treinta años el 13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hay ninguna otra resolución judicial relevante del Tribunal sentenciador en la ejecutoria hasta que, mediante la providencia de 16 de junio de 2006 que se recurre en amparo, el Tribunal, en respuesta a la consulta sobre cumplimiento definitivo de condena del recurrente realizada por el centro penitenciario en el que se encontraba en ese momento interno, determinó que resulta de aplicación el criterio de la Sentencia núm. 197/2006, de 28 de febrero, de la Sala de lo Penal del Tribunal Supremo. Lo que determina que la fecha de cumplimiento y excarcelación es el 13 de abril de 2018 (treinta años después de ingresar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ninguna de las resoluciones judiciales a las que aluden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en las que se reconoció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en amparo ignoren o pongan en cuestión la firmeza e intangibilidad de lo decidido en los Autos del Juzgado de Vigilancia Penitenciaria. La providencia que fijó la fecha de licenciamiento definitivo (y el Auto que la ratificó) no dejó sin efecto dichas redenciones, sino que, en ejercicio de las competencias que legalmente tiene atribuidas el Tribunal sentenciador, las computó sucesivamente sobre las penas impuestas al recurrente a efectos de liquidación de condena. El efecto práctico, como ya se ha dicho, es que las penas que sumaban un total de cuarenta y cuatro años de privación de libertad, a las que se había fijado un límite máximo de cumplimiento de treinta años, han sido dadas por extinguidas a los treinta años de ingresar el penado en prisión por estas causas (en abril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Auto de 7 de octubre de 1996 de acumulación de condenas y fijación del límite máximo de cumplimiento, que cita el Ministerio Fiscal como resolución firme e intangible que ha sido ilegítimamente desconocida, se limita a hacer efectiva la previsión legal (art. 988 LECrim y art. 70.2 CP 1973). No existe en él referencia alguna a la redención de penas por el trabajo o al criterio de cómputo de la misma, ni puede concluirse que dicho criterio sea relevante en modo alguno en la decisión de acumulación en su día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Auto de 11 de julio de 1996 por el que se acordó no haber lugar a la revisión de las penas impuestas (anterior, por tanto, al Auto de acumulación de condenas) por considerar que, dados los hechos enjuiciados y las penas que le habían sido impuestas, no eran más favorables las previsiones punitivas del Código penal de 1995, es claro que ni en el fallo de esta resolución se realiza pronunciamiento alguno acerca del criterio de cómputo de las redenciones (porque no era éste su objeto), ni de su fundamentación jurídica puede concluirse que la decisión de no revisar las condenas se sustentara en un determinado criterio de cómputo de las redenciones que resulte determinante o decisivo para considerar o no más favorable el Código penal de 1973. No podía ser de otra forma, pues la comparación de las penas impuestas al recurrente con las previstas en el Código penal de 1995 evidencia que la ratio de la decisión de no revisar las penas impuestas no fue otra que la constatación de que el nuevo Código penal no rebajó en ningún caso las penas previstas para los delitos de terrorismo sino, si cabe, las endureció respecto a la regulación penal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no existe vulneración del derecho a la tutela judicial efectiva en su vertiente de intangibilidad de las resoluciones judiciales firmes (art. 24.1 CE), ni, en consecuencia, vulneración del derecho a la libertad personal (art. 17.1 CE) por esta causa.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misma suerte desestimatoria debe seguir la queja planteada en el último motivo de la demanda de amparo, según la cual el nuevo criterio de cómputo de las redenciones que le ha sido aplicado al recurrente deja sin efecto práctico las redenciones y la libertad condicional, lo cual vulneraría el art. 25.2 CE en cuanto prevé que las penas privativas de libertad y las medidas de seguridad estarán orientadas hacia la reeducación y reinserción social, de suerte que las resoluciones judiciales impugnadas niegan “el carácter incentivador y reinsertador de las redenciones al no tener ninguna plasmación como beneficio penitenciario en el acortamiento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no puede el recurrente alegar tal efecto en su caso, pues la simple lectura de las actuaciones pone de relieve que las penas que le fueron impuestas sumaban en total cuarenta y cuatro años de privación de libertad y su licenciamiento definitivo ha sido fijado para una fecha en la que llevará extinguidos treinta años de privación efectiva de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María Azkargorta Belategui.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8345-2006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