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24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7325-2010, promovido por don Luis María Lizarralde Izaguirre, representado por el Procurador de los Tribunales don Javier Cuevas Rivas, contra el Auto de 8 de julio de 2010 de la Sala de lo Penal del Tribunal Supremo, que inadmite el recurso de casación formalizado por el recurrente contra el Auto de 16 de diciembre de 2009 de la Sección Tercera de la Sala Penal de la Audiencia Nacional que , conforme a la doctrina de la Sentencia del Tribunal Supremo (Sala Segunda) núm. 197/2006, de 28 de febrero, desestima el recurso de súplica deducido por aquel frente a la providencia de 18 de noviembre de 2009 de la Sección Tercera de la Sala Penal de la Audiencia Nacional (expediente de refundición núm. 6-1998, dimanante de la ejecutoria núm. 60-1996, del sumario núm. 1-1981 del Juzgado Central de Instrucción núm. 5) que aprobaba el licenciamiento definitivo del actor para el día 9 de mayo de 2022. Ha intervenido el Ministerio Fiscal. Ha sido Ponente el Magistrado don Ramón Rodríguez Arribas,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octubre de 2010 don Luis María Lizarralde Izaguirre, representado por el Procurador de los Tribunales don Javier Cuevas Rivas, interpuso recurso de amparo contra las resoluciones a las que se ha hecho referencia en el encabezamiento de esta sentencia, por vulneración de sus derechos a la tutela judicial efectiva (art. 24.1 CE), en su vertiente de intangibilidad de las resoluciones judiciales firmes en conexión con la observancia de los principios de seguridad jurídica e irretroactividad (art. 9.3 CE); y a la libertad personal (art. 17.1 CE); así como por infracción de los principios de reeducación y reinserción social de las penas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integrante del comando “Donosti” (1981) de la organización terrorista ETA, resultó ejecutoriamente condenado por Sentencia de la Audiencia Nacional núm. 22/1996, de 24 de abril de 1996 (sumario 1-81 del Juzgado Central de Instrucción núm. 5), como autor de dos delitos de asesinato con alevosía, uno consumado y otro en grado de frustración concurriendo la circunstancia agravante de premeditación, a las penas de veintiséis años de reclusión mayor y dieciséis años de reclusión respectivamente. De igual manera, mediante Sentencia de la Audiencia Nacional núm. 37/1995, de 23 de junio de 1995 (sumario 184-81 del Juzgado Central de Instrucción núm. 4), fue condenado como autor de un delito de asesinato con alevosía y premeditación a la pena de veintiocho años de reclusión mayor, a la pena de cuatro años de prisión por un delito de utilización ilegítima de vehículo de motor ajeno con empleo de intimidación, y a la pena de tres meses de arresto mayor por un delito de coacciones.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28 de enero de 1998 de la Sección Tercera de la Sala de lo Penal de la Audiencia Nacional (expediente refundición núm. 6-1998) se acordó acumular las condenas impuestas al actor, “fijándose en una duración de treinta años de privación de libertad el tiempo total de cumplimiento de todas las penas privativas de libertad impuestas en las causas expresadas”, resolución que devino firme y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23 de septiembre de 2009, el Director del centro penitenciario de Burgos elevó propuesta de licenciamiento definitivo en la que, con mención de los días de prisión preventiva y de redenciones ordinaria y extraordinaria, concluía que la fecha de extinción con redención pudiera ser el 26 de noviembre de 2009, si bien señalaba como fecha de extinción sin redención el 9 de mayo de 2022, significando que “el citado penado pude (sic) estar incluido dentro de los criterios de la Sentencia del Tribunal Supremo de 28/02/2006 (doctrina Parot), dejando a su superior criterio si procede adoptar esta nueva doctrina”. Posteriormente, tras interesarlo la Audiencia Nacional en escrito de 22 de octubre de 2009, el Director del centro penitenciario de Burgos elevó, con fecha 26 de octubre de 2009, nueva propuesta de licenciamiento definitivo en la que se fija la extinción de condena sin redención para el día 9 de mayo de 2022. De esta manera, mediante providencia de 18 de noviembre de 2009, la Sección Tercera de la Sala de lo Penal de la Audiencia Nacional aprobó el licenciamiento definitivo del penado para el día 9 de mayo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interpuso recurso de súplica contra la anterior providencia, al estimar que infringía su derecho a la tutela judicial efectiva en relación con los principios de seguridad jurídica, irretroactividad de las normas e intangibilidad de resoluciones judiciales firmes, así como de su derecho a la libertad. En Auto de 16 de diciembre de 2009 la Sección Tercera de la Sala de lo Penal de la Audiencia Nacional desestimó el recurso por cuanto “la interpretación de las normas efectuada por la parte no puede primar sobre la interpretación que de las mismas efectúa la jurisprudencia del Tribunal Supremo, y que es la que esta Sala ha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el referido Auto se anunció por la representación del recurrente recurso de casación (art. 988 de la Ley de enjuiciamiento criminal) por infracción de precepto constitucional (arts. 9.3, 17.1 24.1 y 25. 2 CE) y legal [arts. 70.2 y 100 del Código penal (CP) de 1973]. Mediante Auto de 23 de febrero de 2010 se tuvo por preparado el recurso de casación, si bien el Auto del Tribunal Supremo (Sala de lo Penal) de 8 de julio de 2010 acordó no haber lugar a la admisión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alegar el cumplimiento de los requisitos formales, justifica la trascendencia constitucional en la novedad y necesidad de un pronunciamiento sobre la doctrina de la STS (Sala Segunda) núm. 197/2006, de 28 febrero (“doctrina Parot”), la cual, contra un consolidado criterio jurisprudencial, computa la redención de penas por el trabajo, no sobre la pena acumulada, sino sobre cada una de las impuestas, haciendo desaparecer las redenciones y beneficios ya firmes, afectándose así la tutela judicial, el principio de legalidad, la seguridad jurídica y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considera vulnerado el derecho al proceso con las debidas garantías y a la tutela judicial efectiva (arts. 24.1 CE) en su vertiente de intangibilidad de las resoluciones judiciales firmes en conexión con la observancia de los principios de seguridad jurídica e irretroactividad (art. 9.3 CE). Considera que las resoluciones que se recurren conllevan una alteración del Auto de 28 de enero de 1998 de la Sección Tercera de la Sala de lo Penal de la Audiencia Nacional, resolución judicial firme por virtud de la cual se aprobó la refundición de condenas al recurrente, en aplicación de lo dispuesto en los arts. 70.2 y 100 CP 1973, y se fijó como límite en el cumplimiento las diversas penas en el de treinta años, pena resultante sobre la que habrían de operar los beneficios y redenciones penitenciarias.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vulnerado el derecho a la libertad personal (art. 17.1 CE) por cuanto las resoluciones que se recurren conllevan el vaciamiento absoluto de contenido de la figura de la redención de penas por el trabajo, haciéndola inoperante y acarreando un alargamiento legítimo de la permanencia en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considera que se ha infringido el art. 25.2 CE por vulneración del principio de que las penas deben ir orientadas a la reeducación y reinserción social en conexión con la dignidad del ser humano (art. 10 CE) y el principio de humanidad de las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abril de 2011, la Sala Segunda del Tribunal Constitucional admitió a trámite el recurso de amparo recabando las actuaciones, con emplazamiento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diligencia de ordenación de la Secretaría de Justicia de la Sala Segunda del Tribunal Constitucional de 13 de octubre de 2011, se acordó reiterar el testimonio de las actuaciones y de los emplazamientos a la Sección Tercera de la Sala de lo Penal de la Audiencia Nacional. En diligencia de ordenación de la Secretaría de Justicia de la Sala Segunda del Tribunal Constitucional de 24 de noviembre de 2011, se acordó remitir nuevamente la demanda de amparo a la Sección Tercera de la Sala de lo Penal de la Audiencia Nacional a fin de que procediese a realizar los emplazamientos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14 de febrero de 2012 el Fiscal ante el Tribunal Constitucional interesa la 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fácticos y jurídicos del caso, considera que con el nuevo criterio interpretativo operado por las resoluciones judiciales recurridas se ha ocasionado un evidente perjuicio penológico al demandante de amparo. Si bien afirma que las liquidaciones de condena no parece que puedan ser clasificadas como resoluciones judiciales de naturaleza intangible, habida cuenta de la extremada fluidez de la vida de cumplimiento penitenciario cuando entra en juego la institución de retención de penas, sí que reputa como firme e intangible el Auto en el que se fija la refundición de penas. Señala que, establecidos unos criterios para fijar la refundición y ejecución de condena en el Auto de 28 de enero de 1998, éstos no pueden variarse en virtud de una posterior resolución por vía de remisión a una interpretación diferente de las normas atinentes, por lo que considera que se ha vulnerado el derecho a la intangibilidad de la resoluciones judiciales (art. 24.1 CE) engarzándolo con el principio de legalidad (art. 25.1 CE) en relación con la prohibición de retroactividad de las normas penales perjudiciales para el reo (art. 9.3 CE) y con la vulneración del derecho a la libertad personal (art. 17.1 CE), al haberse creado ex novo un nuevo marco paranormativo que ha causado una extensión de la fecha de licenciamiento del interno y una revisión en la aplicación de los beneficios de la redención de penas. Rechaza el Fiscal, sin embargo, la invocación del art. 25.2 CE, por cuanto este precepto no contiene un derecho fundamental invocable en amparo, sino un mandato dirigido al legislador para orientar la política penal y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26 de marzo de 2012, el Pleno, de conformidad con lo establecido en el art. 10.1 n) de la Ley Orgánica del Tribunal Constitucional y a propuesta de la Sala Segunda,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22 de mayo de 2012 se señaló para la deliberación y votación de la presente Sentencia el día 24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decidir si el Auto de 8 de julio de 2010 de la Sala de lo Penal del Tribunal Supremo, que inadmite el recurso de casación formalizado por el recurrente contra el Auto de 16 de diciembre de 2009 de la Sección Tercera de la Sala Penal de la Audiencia Nacional que desestima el recurso de súplica deducido por aquél frente a la providencia de 18 de noviembre de 2009 de la Sección Tercera de la Sala Penal de la Audiencia Nacional (expediente de refundición núm. 6/1998, dimanante de la ejecutoria núm. 60-1996, del sumario núm. 1-81 del Juzgado Central de instrucción núm. 5) que aprobaba el licenciamiento definitivo del actor para el día 9 de mayo de 2022, al aplicar el criterio de la Sentencia del Tribunal Supremo (Sala Segunda) núm. 197/2006, de 28 de febrero (cómputo de los beneficios y redenciones penitenciarias sobre cada una de las penas y no sobre la resultante de la acumulación), ha lesionado los derechos fundamentales del recurrente a la tutela judicial efectiva (art. 24.1 CE), en su vertiente de intangibilidad de las resoluciones judiciales firmes en conexión con la observancia de los principios de seguridad jurídica e irretroactividad (art. 9.3 CE); a la libertad personal (art. 17.1 CE); y si ha infringido los principios de reeducación y reinserción social de las penas (art. 25.2 CE), con los argumentos que han sido expuestos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las razones reseñadas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quejas articuladas en la demanda, bajo la invocación del derecho a la tutela judicial efectiva (art. 24.1 CE) en su vertiente de intangibilidad de las resoluciones judiciales firmes se denuncia la cuestión de fondo, esto es, la aplicación al presente caso de un nuevo criterio jurisprudencial en la interpretación de los arts. 70.2 y 100 del Código penal (CP) de 1973 en relación con el cómputo de la redención de penas por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4). Un cambio de doctrina cuya aplicación al presente caso por la Audiencia Nacional implica que, si bien conforme al cómputo de las redenciones de penas por trabajo usado hasta ese momento el recurrente vería que las reducciones correspondientes al trabajo se aplicarían al límite máximo de treinta años, en aplicación del nuevo criterio se restarían de la suma total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de ello se deriva la vulneración del derecho a la libertad (art. 17.1 CE) y del derecho a la tutela judicial efectiva (art. 24.1 CE), en relación con los principios de seguridad jurídica e irretroactividad, a la vista de lo cual, hemos de comenzar precisando cuáles son los derechos fundamentales en juego y cuál ha de ser nuestro parámetro de enjuiciamiento en esta materia. No obstante, con carácter previo, conviene aclarar que no es objeto del presente recurso de amparo la Sentencia 197/2006, de 28 de febrero, dictada por la Sala Segunda del Tribunal Supremo, sino que nuestro examen se ha de limitar a la consideración de la respuesta judicial que para el caso concreto se contiene en las resoluciones recurridas, en las que se acuerda la aplicación del criterio de cómputo de las redenciones establecido con carácter previo por la citada STS 197/1996.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CP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Dado que en el presente procedimiento no se impugna la Sentencia del Tribunal Supremo de 28 de febrero de 2006 ni cabe entrar a examinar si ésta se ha apartado o no de sus precedentes vulnerando el art. 14 CE. Y por lo que respecta a las resoluciones impugnadas, se limitan a aplicar la doctrina sentada en aquella Sentencia del Tribunal Supremo, máximo intérprete de la ley, justificando el cambio de criterio en el cómputo de las redenciones de penas por el trabajo, frente a otros supuestos resueltos con anterioridad, precisamente en la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Llegados a este punto, hemos de recordar que no es función de este Tribunal la interpretación de la legalidad ordinaria y, en lo que aquí interesa, que no nos corresponde pronunciarnos directamente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europeo para la protección de los derechos humanos y de las libertades fundamentales,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respuesta judicial obtenida por el recurrente en las resoluciones judiciales que se impugnan en el presente procedimiento de amparo vulneró su derecho a la tutela judicial efectiva (art. 24.1 CE) y como consecuencia de ello su derecho a la libertad (art. 17.1 CE), lo que —según se argumenta en los motivos de amparo primero y segundo— habría sucedido al aplicar un nuevo criterio de cómputo de la redención de penas por el trabajo que ignora la existencia de una legítima expectativa, fundada en el criterio que se venía siguiendo de forma unánime por los Tribunales y en una resolución judicial firme e intangible, de que las reducciones correspondientes al trabajo se aplicarían al límite máximo de treinta años y no a la suma total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conformando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(SSTC 15/2006, de 16 de enero, FJ 6; ) o sobre los que, aun no constituyendo el objeto mismo del proceso, resultan determinantes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la respuesta a la anterior cuestión ha de ser negativa pues, como veremos, el análisis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 El recurrente, integrante del comando “Donosti” (1981) de la organización terrorista ETA, resultó ejecutoriamente condenado por Sentencia de la Audiencia Nacional núm. 22/1996, de 24 de abril (sumario 1-81 del Juzgado Central de Instrucción núm. 5), como autor de dos delitos de asesinato con alevosía, uno consumado y otro en grado de frustración concurriendo la circunstancia agravante de premeditación, a las penas de veintiséis años de reclusión mayor y dieciséis años de reclusión respectivamente. De igual manera, mediante Sentencia de la Audiencia Nacional núm. 37/1995, de 23 de junio (sumario 184-81 del Juzgado Central de Instrucción núm. 4), fue condenado como autor de un delito de asesinato con alevosía y premeditación a la pena de veintiocho años de reclusión mayor, a la pena de cuatro años de prisión por un delito de utilización ilegítima de vehículo de motor ajeno con empleo de intimidación, y a la pena de tres meses de arresto mayor por un delito de coacciones.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de 28 de enero de 1998 de la Sección Tercera de la Sala de lo Penal de la Audiencia Nacional (expediente refundición núm. 6-1998) se acordó acumular las condenas impuestas al actor, “fijándose en una duración de treinta años de privación de libertad el tiempo total de cumplimiento de todas las penas privativas de libertad impuestas en las causas expresadas”, resolución que devino firme y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23 de septiembre de 2009 el Director del centro penitenciario de Burgos, elevó propuesta de licenciamiento definitivo en la que, con mención de los días de prisión preventiva y de redenciones ordinaria y extraordinaria, concluía que la fecha de extinción con redención pudiera ser el 26 de noviembre de 2009, si bien señalaba como fecha de extinción sin redención el 9 de mayo de 2022, significando que “el citado penado puede (sic) estar incluido dentro de los criterios de la Sentencia del Tribunal Supremo de 28/02/2006 (doctrina Parot), dejando a su superior criterio si procede adoptar esta nueva doctrina”. Posteriormente, tras interesarlo la Audiencia Nacional en escrito de 22 de octubre de 2009, el Director del centro penitenciario de Burgos elevó nueva propuesta de licenciamiento definitivo con fecha 26 de octubre de 2009 en la que se fija la extinción de condena sin redención para el día 9 de mayo de 2022. De esta manera, mediante providencia de 18 de noviembre de 2009, la Sección Tercera de la Sala de lo Penal de la Audiencia Nacional se aprobó el licenciamiento definitivo del penado para el día 9 de mayo de 2022.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interpuso recurso de súplica contra la anterior providencia, al estimar que infringía su derecho a la tutela judicial efectiva en relación con los principios de seguridad jurídica, irretroactividad de las normas e intangibilidad de las resoluciones judiciales firmes, así como de su derecho a la libertad. En Auto de 16 de diciembre de 2009 la Sección Tercera de la Sala de lo Penal de la Audiencia Nacional desestimó el recurso por cuanto “la interpretación de las normas efectuada por la parte no puede primar sobre la interpretación que de las mismas efectúa la jurisprudencia del Tribunal Supremo, y que es la que esta Sala ha aplicado”. Contra el referido Auto se anunció por la representación de la recurrente recurso de casación (art. 988 de la Ley de enjuiciamiento criminal), por infracción de precepto constitucional (arts. 9.3, 17.1, 24.1 y 25. 2 CE) y legal (arts. 70.2 y 100 CP 1973). Mediante Auto de 23 de febrero de 2010 se tuvo por preparado el recurso de casación, si bien el Auto del Tribunal Supremo (Sala de lo Penal) de 8 de julio de 2010 acordó no haber lugar a la admisión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ninguna de las resoluciones judiciales a las que se refiere el recurrente puede derivarse, en el presente caso, el efecto de intangibilidad respecto al criterio de cómputo de las redenciones pretendido. En concreto, el Auto de 28 de enero de 1998 que acordó la acumulación de las penas impuestas por ambas Sentencias “fijándose en una duración de treinta años de privación de libertad el tiempo total de cumplimiento de todas las penas privativas de libertad impuestas en las causas expresadas”, no dejó sin efecto las redenciones, ni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misma suerte desestimatoria debe seguir la queja plasmada en el último motivo de amparo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Luis María Lizarralde Izaguirre.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7325-2010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STC 40/2012, de 29 de marzo, dictada en el recurso de amparo núm. 5560-2006.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