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2434-2012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2434-2012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2434-2012.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abril de 2012, el Procurador de los Tribunales don Adolfo Morales Hernández-Sanjuan, en nombre y representación de don Josep Palol Sunyer, y bajo la dirección del Letrado don Xavier Hors Presas, interpuso recurso de amparo contra la Sentencia de la Sección Tercera de la Sala de lo Contencioso-Administrativo del Tribunal Superior de Justicia de Cataluña de 13 de febrero de 2012, por la que se estima en parte el recurso de apelación núm. 390-2009 interpuesto contra la Sentencia del Juzgado de lo Contencioso-Administrativo núm. 3 de Girona de 4 de septiembre de 2009, dictada en el procedimiento ordinario núm. 147-2008, confirmando la orden “de cese de uso y la actividad a que se destina la nave de la Granja La Pomareda que la certificación complementaria de final de obras de abril de 2003 denomina ‘nave de nueva planta’ de superficie 53,06 x 19,00 metros”.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20 de septiembre de 2010, acordó la admisión a trámite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mediante escrito registrado en este Tribunal el 7 de noviembre de 2012, solicitó la suspensión de la ejecución de la resolución impugnada en lo relativo a la orden de cese de la actividad de la nave de nueva planta. A esos efectos, argumenta que la granja es una nave de ciclo cerrado para el desarrollo de la actividad de cubrimiento, gestación, cría y cebo de cerdos, de modo tal que el cese de actividad en la nave de nueva planta, que es donde están las cerdas parteras y se realiza la gestación y el destete de lechones, supondría la ruptura del ciclo al perderse la actividad reproductiva de la granja y, por tanto, comportaría el irremediable cierre de la actividad, tal como se pone de manifiesto en el informe veterinario que consta en las actuaciones en relación con la afectación que comportaría el derribo de la nave a la actividad productiva de la granja. Igualmente destaca que esta granja es el único medio de vida del recurrente y que de llevarse a cabo la ejecución de la resolución impugnada se llegaría a una situación de irreversibilidad del cierre que haría ilusoria una eventual estimación del amparo. Por último, también se incide en que la suspensión de la ejecución no implica una perturbación grave a ningún interés constitucional protegido o a derechos de terceros al tratarse de una actividad que viene desarrollando desde 1973.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mediante sendas providencias de 19 de noviembre de 2012, acordó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29 de noviembre de 2012, presentó alegaciones en las que, enunciando la jurisprudencia de este Tribunal sobre el particular, interesó que se denegara la suspensión solicitada. Así, señala que la suspensión tiene un contenido económico referido al cese del uso y actividad de la nueva nave de una granja que ya venía funcionando con anterioridad y que, si bien el recurrente ha alegado que dicho cese afectaría al resto de la explotación, que es su único medio de vida, hasta implicar su cierre, sin embargo, nada se acredita ni sobre dichas consecuencias económicas personales ni sobre el condicionamiento existente entre la nueva nave y el resto de la explotación como determinante del cese total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ha presentado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En atención a esta previsión legal, el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(por todos, ATC 124/2012, de 18 de junio, FJ 1). Igualmente se ha hecho especial incidencia, por un lado, en que la acreditación del perjuicio es carga del recurrente, quien debe precisar los concretos perjuicios que de la ejecución se deriven, así como justificar o argumentar razonadamente la irreparabilidad de los mismos; y, por otro, que el perjuicio irreparable debe ser real, sin que sea posible alegar un perjuicio futuro o hipotético o un simple temor y que la pérdida de la finalidad del amparo no puede equipararse a la mayor o menor dificultad, molestia o incomodidad para el recurrente (por todos,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este Tribunal ha establecido el criterio de que la ejecución de las resoluciones judiciales cuyos efectos son fundamentalmente patrimoniales o de contenido económico, con carácter general, ni causa un perjuicio irreparable al obligado al pago, ni puede hacer perder al amparo su finalidad, al ser posible la restitución íntegra de lo ejecutado. De ese modo, sólo se ha accedido a la suspensión en supuestos excepcionales en los que la ejecución de las resoluciones recurridas en amparo acarrearía perjuicios económicos muy difícilmente reparables por su entidad o por la irreversibilidad de las situaciones jurídicas que puedan producirse (por todos, ATC 81/2012, de 7 de mayo, FJ 2). A ese respecto, cabe destacar que este Tribunal ha otorgado la suspensión en casos en los que la ejecución comportaba el cierre de una explotación ganadera por entender que, dada la situación económica de la empresa propietaria de la referida explotación, tal medida acarreaba su quiebra y la pérdida de empleo de sus trabajadores (ATC 110/1998, de 18 de mayo); la suspensión de la concesión de una expendeduría de tabacos durante setenta y cinco días, al considerar que el cierre temporal de un negocio ocasiona unos perjuicios irreparables no sólo porque durante ese tiempo no se puede ejercer la actividad negocial, sino porque también se afecta a otros elementos inmateriales del negocio, como son el mantenimiento de la clientela y la buena fama del establecimiento (ATC 250/2001, de 17 de septiembre); la demolición de locales de negocios que se encontraban arrendados en atención a los perjuicios que se ocasionaría a los arrendatarios de los referidos locales (ATC 263/2003, de 15 de julio); el cierre de un local de negocio durante doce meses, ya que ello suponía que la recurrente no pudiera ejercer la actividad empresarial que desempeñaba en el referido local y tuviera que despedir a los trabajadores que prestaban servicios en el mismo (ATC 333/2004, de 13 de septiembre); o la demolición de un edificio en el que se ubicaba un restaurante, al implicar el cierre del negocio (ATC 154/2005, de 18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ha sido desarrollado más ampliamente en los antecedentes, el recurrente fundamenta la solicitud de suspensión en el hecho de que el cese de la actividad en la nave de nueva planta construida dentro del complejo de la granja de explotación porcina, que actualmente se destina a alojar a las cerdas parteras, implicaría irremediablemente el fin de toda la actividad productiva de la granja por tratarse de una explotación de ciclo cerrado.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tal como también ha interesado el Ministerio Fiscal, no procede acceder a la suspensión solicitada. A pesar de la pretensión del recurrente de hacer una traslación directa de la doctrina constitucional citada sobre la suspensión en casos de demolición de locales de negocio u ordenación de ceses de actividades, debe destacarse que en el presente caso la suspensión no aparece referida a una orden de cese de un negocio, sino, meramente, ante una orden de cese de una concreta actividad que se está desarrollando dentro de una también concreta nave que forma parte del complejo de la explotación porcina. A partir de ello, la sola alegación de que el cese de esa concreta actividad supondrá el cierre de toda la explotación no deja de ser una afirmación hipotética carente de la necesaria acreditación, especialmente tomando en consideración que, más allá de las eventuales molestias que ello podría implicar, no aparece suficientemente justificada la imposibilidad de una reubicación de esta concreta actividad bien en otros espacios de la granja, bien en cualquier otro lugar que cuente con la necesaria licencia de actividad.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en el momento de valorar la eventual perturbación que tendría la suspensión sobre un interés constitucionalmente protegido o a los derechos fundamentales o libertades públicas de otra persona, también deben ponderarse las circunstancias de la naturaleza misma de la actividad cuyo cese se ha ordenado, por sus implicaciones medioambientales y sanitarias, y las razones por las que judicialmente se ha acordado dicho cese. A esos, efectos cabe incidir en lo señalado en la resolución de apelación impugnada de que “por más que el apelante pudiese disponer de una licencia o licencias de actividad otorgada en su momento …, no puede pretender extender sus efectos a cualquier actividad, ni idéntica ni diferente, que desarrolle en la actualidad, cuando no constan en autos que, transcurrido con exceso todos los plazos al efecto prevenidos en las disposiciones transitorias de la Ley 3/1998, de 27 de febrero, de la intervención integral de la Administración ambiental en Cataluña (y su normativa de desarrollo), haya obtenido licencia para la adecuación de tal actividad a las disposiciones de esta … ni el correspondiente control inicial previa a su inicio, con lo que la única conclusión factible es la de que carece de licencia de actividad alguna” (fundamento de Derecho quinto). De ese modo, la circunstancia de que se trate de una actividad que judicialmente se considera que no cuenta con la necesaria cobertura de una licencia que garantice un control de la misma, también debe ser determinante para rechazar suspender la orden de cesar en la misma.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2434-2012.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