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3652-2012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3652-2012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del decreto de adjudicación de 30 de diciembre de 2011 dictado por el Juzgado de Primera Instancia e Instrucción núm. 3 de Mislata (Valencia) en el procedimiento de ejecución de títulos no judiciales núm. 829-2007.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15 de junio de 2012, por doña Cristina González Alonso, Procuradora de los Tribunales, en nombre y representación de doña María Loreto Sabaté Grau, interpuso recurso de amparo contra el Auto del Juzgado de Primera Instancia e Instrucción núm. 3 de Mislata (Valencia), de 30 de abril de 2012, que desestimó el incidente de nulidad de actuaciones promovido contra diligencia de ordenación de fecha 14 de octubre de 2011, por la que se convocó a las partes a la subasta pública de una plaza de garaje propiedad de la recurrente, trabada en el procedimiento sobre ejecución de títulos no judiciales núm. 829-2007.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los hechos relevantes para la resolución del presente incidente son resumidamente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fundamento en una póliza de crédito, una póliza de contratos de arrendamientos financieros y garantías de operaciones mercantiles y dos pólizas de contratos de arrendamiento financiero impagadas, el Juzgado de Primera Instancia e Instrucción núm. 3 de Mislata (Valencia) inició, a instancia de la entidad Banco Pastor, S.A., procedimiento de ejecución de títulos no judiciales núm. 829-2007 contra la sociedad mercantil Arsacivil, S.A., y sus fiadores solidarios, entre los que figuraba la ahora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notificó en el domicilio señalado en las mencionadas pólizas, con resultado negativo, la diligencia de ordenación de 4 de octubre de 2011, por la que se convocaba a las partes al acto de subasta pública de una plaza de garaje propiedad de la recurrente, trabada en el citado procedimiento. En la citada diligencia se hace constar que, “caso de no ser hallados los demandados en el domicilio señalado a efecto de notificaciones en las pólizas, se tendrá por notificada a los ejecutados la presente resolución, con la publicación del edicto cuya expedición se acuerda”.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subasta judicial se celebró en la fecha anunciada y, ante la falta de licitadores, el Juzgado acordó por decreto de 30 de diciembre de 2011 adjudicar la citada plaza de garaje al Banco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Habiendo tenido conocimiento extrajudicial de la subasta celebrada y de su resultado, la demandante de amparo se personó en el procedimiento y promovió incidente de nulidad de actuaciones, que fue desestimado por el Auto impugnado de fecha 30 de abril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recurrente, como ya hiciera antes en el previo incidente de nulidad de actuaciones, denuncia la vulneración de su derecho a obtener la tutela judicial efectiva sin indefensión (art. 24.1 CE), al haber procedido el Juzgado a notificar la diligencia de ordenación de 4 de octubre de 2011 en domicilio distinto del real y del utilizado, de hecho, por el propio órgano judicial para dirigirse a la recurrente en otras ocasiones dentro del mismo procedimiento de ejecución, y haberlo hecho además con infracción asimismo de lo ordenado en materia de notificaciones en los arts. 155 y siguientes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y al amparo de lo dispuesto en el art. 56 de la Ley Orgánica del Tribunal Constitucional (LOTC) la recurrente solicitó la suspensión cautelar de la adjudicación del bien inmueble subastado en su día, impidiendo cualquier acto de disposición sobre el mismo, a fin de evitar daños y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marzo de 2013 la Sala Primera de este Tribunal acordó admitir a trámite la demanda y, por nueva providencia del mismo día, formar la presente pieza separada de suspensión y conceder, de conformidad con lo dispuesto en el art. 56 LOTC, plazo común de tres días al Ministerio Fiscal y a la demandante de amparo para que alegaran lo que estimaran pertinente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marzo de 2013 la recurrente presentó sus alegaciones, renovando su petición de suspensión que justifica en la doctrina de este Tribunal de la que se hace eco, añadiendo ahora que la suspensión no ha de producir además ninguna perturbación grave para los intereses generales o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siguiente día 22 de marzo de 2013, interesó el otorgamiento de la suspensión solicitada con fundamento en el criterio, muchas veces subrayado por la jurisprudencia constitucional, que rige en materia de suspensión de la ejecución de resoluciones judiciales que, como es el caso, producen o arriesgan la transmisión del dominio de bienes inmuebles a favor de terceros de buena fe.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en el presente caso la demandante de amparo ha denunciado la indefensión que ha sufrido al no haberle sido notificada correctamente por el órgano judicial la celebración de la subasta de una plaza de garaje de su propiedad, que concluyó con su adjudicación. Por este motivo ha solicitado la suspensión cautelar de las resoluciones judiciales impugnadas y la retroacción de las actuaciones al momento anterior al de la convocatoria de la subasta, pues, según ha razonado, de no acordarse la suspensión de su ejecución podrían producirse actos de disposición sobre el citado bien inmueble y consolidarse una situación difícilmente reversible. Por estas mismas razones, el Ministerio Fiscal ha interesado igualmente la concesión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son buena muestra entre otros muchos los AATC 220/2008, de 14 de julio, FJ 2; y 64/2009, de 23 de febrero, FJ 2, citados por el Ministerio Fiscal, o el mucho más reciente, ATC 56/2013, de 13 de febrero, FJ 2, este Tribunal ha admitido, en efecto,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esta doctrina constitucional y teniendo en cuenta las circunstancias que antes se han recordado, y sin prejuzgar la decisión de fondo del recurso, procede acordar la suspensión solicitada, puesto que en otro caso se podría materializar la transmisión del dominio del bien inmueble considerado por parte del adjudicatario del mismo y crearse, en consecuencia, una situación difícilmente reversible que haría perder la finalidad al presente recurso de amparo. Por lo demás,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del decreto de adjudicación de 30 de diciembre de 2011 dictado por el Juzgado de Primera Instancia e Instrucción núm. 3 de Mislata (Valencia) en el procedimiento de ejecución de títulos no judiciales núm. 829-2007.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