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arts. 2, 3, 4, 5, 7, 8 y 9 de la Ley de la Asamblea de Madrid, 1/2012, de 26 de marzo, para la protección de los derechos de los consumidores mediante el fomento de la transparencia en la contratación hipotecaria en la Comunidad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General del Tribunal Constitucional el 2 de enero de 2013, el Abogado del Estado, en la representación que legalmente ostenta, interpuso recurso de inconstitucionalidad contra los arts. 2, 3, 4, 5, 7, 8 y 9 de la Ley de la Asamblea de Madrid, 1/2012, de 26 de marzo, para la protección de los derechos de los consumidores mediante el fomento de la transparencia en la contratación hipotecaria en la Comunidad de Madrid (“Boletín Oficial de la Comunidad de Madrid” núm. 79, de 2 de abril de 2012). Se invoca el art. 161.2 CE y el art. 3 de la Ley Orgánica del Tribunal Constitucional (LOTC) a los efectos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enero de 2013, el Pleno del Tribunal Constitucional acordó admitir a trámite el recurso y tener por invocado el art. 161.2 CE con suspensión de la vigencia y aplicación de los preceptos impugnados. Asimismo acordó dar traslado de la demanda y documentos aportados, al Congreso de los Diputados, al Senado, a la Comunidad de Madrid y a la Asamblea de Madrid, para que pudieran personarse y formular alegaciones, y publicar la incoación del recurso en el “Boletín Oficial del Estado” y en el “Boletín Oficial de la Comunidad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21 de enero de 2013, se registró en el Tribunal Constitucional escrito de la Letrada de la Comunidad de Madrid, personándose en el procedimiento de referencia y suplicando la apertura del correspondiente incidente cautelar sobre ratificación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25 de enero de 2013 tuvo entrada en el Tribunal Constitucional escrito del Presidente del Congreso por el que comunica el acuerdo de la Mesa de la Cámara de personarse en el proceso. Con fecha 30 de enero de 2013 se registró en este Tribunal el escrito del Presidente del Senado comunicando el acuerdo de la Mesa de dicha Cámara dándose por personada y por ofrecida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el Tribunal Constitucional el 5 de febrero de 2013, la Letrada de la Comunidad de Madrid formuló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en el Tribunal Constitucional el 6 de febrero de 2013, el Presidente de la Asamblea de Madrid comunicó el acuerdo de la Diputación permanente de personarse y formular alegaciones. Estando próximo el vencimiento del plazo de los cinco meses establecido en el art. 161.2 CE, por providencia de 11 de febrero de 2013, el Pleno del Tribunal Constitucional acordó oír al Abogado del Estado y a las representaciones procesales de la Comunidad de Madrid y de la Asamblea de Madrid, para que, en el plazo de cinco días, expusieran lo que consideren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sendos escritos que tuvieron entrada en el Tribunal Constitucional el 19 de febrero de 2013, los Letrados de la Asamblea de Madrid y de la Comunidad de Madrid realizaron alegaciones en este incidente cautelar. Recuerdan la doctrina constitucional sobre la naturaleza excepcional de la suspensión de la aplicación y vigencia de las leyes de las Comunidades Autónomas y la necesidad de ponderar los intereses que concurren, así como los perjuicios de imposible o difícil reparación. Entienden, y en ello coinciden sustancialmente, que el interés público no puede verse afectado por el levantamiento de la suspensión y la aplicación de una normativa más garantista que la estatal, pues con ello se favorece el mandato del art. 51 CE. Consideran que de la ampliación de los derechos de información de los consumidores y usuarios sólo pude derivarse un beneficio para ellos, pues recibirán una mayor información que la exigida en la legislación estatal, mientras que los beneficios que se irrogaran a las entidades bancarias serían meramente económicos y, por tanto, de posible reparación. En todo caso, a la hora de ponderar los beneficios para los consumidores y los perjuicios a las entidades crediticias, siempre deben primar los primeros al estar éstos en una situación de inferioridad contractual. El Letrado de la Comunidad Autónoma alega, además, que debe levantarse la suspensión de los apartados de los preceptos que aun habiendo sido impugnados, no han sido objeto de reproche de inconstitucionalidad en el escrito de demanda. Considera que, a diferencia de la suspensión automática que conlleva la invocación del art. 161.2 CE, en este momento procesal debe tenerse en cuenta el carácter medial de la suspensión como instrumento que permite garantizar el resultado del proceso, citando a favor de la pretensión deducida el ATC 355/1989, de 20 de junio, por lo que solicita el levantamiento de la suspensión de los apartados b) y c) del art. 2; del art. 3.2 y art 5.2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19 de febrero de 2013, tuvo entrada en el Registro General del Tribunal Constitucional escrito del Abogado del Estado mediante el que evacúa el trámite de alegaciones conferido por la providencia de 11 de febrero de 2013. Entiende que como la normativa autonómica arroja importantes incongruencias con la normativa estatal, el levantamiento de la suspensión ocasionaría un daño importante a la unidad del sistema económico y financiero, siendo la normativa de transparencia financiera una garantía de la unidad de mercado. La normativa autonómica, en cuanto omite aspectos esenciales de la estatal sobre transparencia, obliga a las entidades que otorgan préstamos a desarrollar sus contratos de manera diferente en la Comunidad de Madrid. A su vez, la menor transparencia en el mercado bancario repercute en su funcionamiento, pues se vería perjudicado por una defectuosa asignación de recursos por clientes indebidamente informados. Finalmente, para cada uno de los preceptos impugnados lleva a cabo la ponderación de los posibles perjuicios a los intereses particulares y del interés público, para concluir suplicando el mantenimiento de la suspensión de todos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 resolución tiene por objeto determinar si, de acuerdo con el art. 161.2 CE, procede levantar o mantener la suspensión de la vigencia que afecta a los arts. 2, 3, 4, 5, 7, 8 y 9 de la Ley de la Asamblea de Madrid, 1/2012, de 26 de marzo, para la protección de los derechos de los consumidores mediante el fomento de la transparencia en la contratación hipotecaria en la Comunidad de Madrid. La representación de la Comunidad de Madrid ha solicitado el levantamiento anticipado de la suspensión de los preceptos recurridos, sin esperar el transcurso de los cinco meses previstos en el citado precepto constitucional. En sus alegaciones, la Asamblea de Madrid se ha manifestado conforme con el levantamiento de la suspensión. Por el contrario la Abogacía del Estado ha interesado su mantenimiento.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de este Tribunal que la solicitud de levantamiento anticipado de la suspensión sin esperar al transcurso de los cinco meses previstos en el art. 161.2 CE, constituye una solicitud viable procesalmente, y que forma parte de las potestades de este Tribunal la de ratificar o levantar la suspensión dentro de ese plazo (ATC 60/2013, de 26 de febrero, FJ 2). Asimismo, tenemos señalado que para la resolución de este tipo de incidentes de suspensión, resulta necesario ponderar los intereses, tanto el público como los privados o de terceros, que se verían afectados por el levantamiento o mantenimiento de la suspensión, y los daños o perjuicios irreparables que podría ocasionar la resolución adoptada, todo ello al margen de la apreciación de la apariencia de buen derecho (fumus boni iuris) de las pretensiones formuladas en la demanda. Finalmente, hemos afirmado que, como consecuencia de la presunción de constitucionalidad que asiste a las normas legales impugnadas, el mantenimiento de la suspensión requiere que el Gobierno, a quien se debe la iniciativa, no sólo invoque la existencia de perjuicios derivados de su aplicación, sino que se requiere el razonamiento consistente sobre su procedencia y la imposible o difícil reparación de dichos perjuicios (ATC 161/2012, de 13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Son objeto del recurso de inconstitucionalidad, en cuyo seno se plantea este incidente, determinados preceptos de la Ley de la Asamblea de Madrid 1/2012, de 26 de marzo, relativos a la transparencia en la contratación de créditos hipotecarios en dicha Comunidad. El recurso se basa, en esencia, en que la normativa autonómica difiere notablemente de la estatal dictada en virtud de las competencias que al Estado atribuyen los arts. 149.1.6, 8, 11 y 13 CE, originando una importante disminución de las garantías de los prestatarios contempladas en la legislación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opinión de la Abogacía del Estado, el levantamiento de la suspensión produciría una ruptura del principio de unidad de mercado, al imponer a las entidades financieras que otorgan préstamos hipotecarios en la Comunidad de Madrid unos menores deberes de información que los regulados en la normativa estatal. A ello añade que se causa un perjuicio para el adecuado funcionamiento del sistema bancario, pues resulta indispensable contar con una adecuada información sobre la capacidad de solvencia del deudor hipotecario, no solo para prevenir que asuma obligaciones excesivamente gravosas, sino también para evitar riesgos de impago que hagan peligrar la estabilidad de la entidad concedente. Por otra parte, se señala que, de levantarse la suspensión, las entidades acreedoras podrían ampararse en el cumplimiento de la norma autonómica y no de la estatal y si, posteriormente se declarara la inconstitucionalidad de los preceptos impugnados, los contratos podrían llegar a estar viciados de nulidad, lo que conllevaría, a su vez, la de las cédulas hipotecarias que suelen emitir las propias entidades financieras para garantizar sus obligaciones..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para las representaciones de la Comunidad Autónoma y de la Asamblea, el levantamiento de la suspensión no produce perjuicio alguno en el funcionamiento del mercado bancario pues, dado que la Ley autonómica es más garantista que la estatal, la exigencia de mayores deberes de información sólo puede redundar en su mejor funcionamiento y en una ventaja para los consumidores que se beneficiarán de una información más amplia que la exigida por el derecho estatal. De existir algún potencial perjuicio, lo sería para las entidades financieras y estaría provocado por la carga de facilitar una mayor información documental a sus potenciales deudores hipotecarios, perjuicio que, en todo caso, sería de carácter económico y, por tanto, susceptible de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ha señalado, la decisión a adoptar sobre el mantenimiento o levantamiento de la suspensión no puede depender de la viabilidad de las pretensiones del recurrente. Por ello, no cabe aceptar, como pretenden los Letrados de la Comunidad de Madrid y de la Asamblea, que ningún perjuicio puede suponer para el interés general o para los intereses de los particulares o terceros el levantamiento de la suspensión, al haber sido dictada la ley autonómica dentro del ámbito de sus competencias en materia de consumidores y usuarios, para favorecer sus derechos y ampliar sus garantías. La razón es clara: para alcanzar esta conclusión tendríamos, necesariamente, que anticipar el resultado del proceso, lo que nos está vedado, de acuerdo con nuestra doctrina, en este incidente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cabe entender, a juicio de este Tribunal Constitucional, que el levantamiento o el mantenimiento de la suspensión suponga, en todo caso, un perjuicio grave para el interés público al que sirve la unidad de mercado por obligar a las entidades de crédito a actuar de forma diferente en la Comunidad Autónoma de Madrid. La cuestión suscitada no afecta al principio de unidad de mercado, pues tan diferente resulta imponer legalmente en una determinada Comunidad Autónoma más deberes de información, que menos. El perjuicio se produce sólo en el caso de que el consumidor de préstamos hipotecarios vea disminuidas sus garantías en virtud de la legislación autonómica respecto de la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realizadas las anteriores consideraciones, sí que debemos tener en cuenta, sin embargo, el perjuicio que podría derivarse de la merma de garantías que se imputa a los preceptos impugnados, tanto para el interés público que subyace en el correcto funcionamiento del sistema crediticio, especialmente en situaciones económicas como la actual, como para la tutela de los derechos de los deudores hipotecarios que suscriban contratos de préstamo en la Comunidad de Madrid. Sobre este particular hay que subrayar que, si este Tribunal Constitucional levantara la suspensión de la norma impugnada, dado que no existe en estos casos una previa intervención administrativa, las entidades crediticias radicadas en la Comunidad Autónoma de Madrid, en tanto el recurso de inconstitucionalidad no se resuelva, podrían aplicar tan solo la normativa autonómica, ignorando, en consecuencia, las garantías contempladas en la estatal. No cabe duda que, si posteriormente los preceptos recurridos fueran declarados inconstitucionales, podría conllevar la posterior la nulidad de los contratos que se hubieran suscrito al amparo de aquélla, con una inmediata repercusión en la conflictividad judicial y, según los casos, la irrogación de perjuicios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Procederemos ahora a realizar la concreta ponderación de los perjuicios que se irrogarían a partir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 2 se impugna, como admite la Abogacía del Estado, por la definición que contiene la letra a), pues excluye de la protección que otorga la ley a aquellos prestatarios que, al momento de contratar el préstamo, lo hagan en ejercicio de su actividad empresarial o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atañe al apartado a) del art. 2, este Tribunal Constitucional comparte el argumento de la Abogacía del Estado. El levantamiento de la suspensión produciría daños, tanto para el interés público, como para los consumidores. Para el primero, porque el correcto funcionamiento del mercado crediticio se alcanza con la instrumentación de unas garantías informativas que aseguren en la medida de lo posible la solvencia de quienes de manera transparente adquieren voluntariamente obligaciones hipotecarias. Para los consumidores, por el desconocimiento que les generaría y que les impediría o al menos dificultaría defender correctamente sus derechos. Aunque no es posible afirmar desde un principio que este daño sea en todo caso irreparable, pues ello dependerá de la adecuada formación del consentimiento contractual, tampoco cabe excluir la posibilidad de daños irreparables si la falta de información redundara en la nulidad del contrato. Por el contrario, el mantenimiento de la suspensión garantiza que quienes celebran este tipo de contratos de crédito o préstamo en ejercicio de su actividad profesional o empresarial cuentan con las garantías de la legislación estatal. Del mantenimiento de la suspensión no derivaría, en definitiva, perjuicio alguno más allá del que resulta consustancial a la inaplicación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artículos 3, 4 y 5 de la ley impugnada regulan, respectivamente, la información previa a la oferta vinculante, la propia oferta vinculante, y la información contractual, preceptos a los que la demanda imputa una regulación mucho menos garantista que la contemplada en la legislación estatal. Así, la Orden EHA/2899/2011 y la Ley de la Asamblea de Madrid 2/2009, de 23 de junio, exigen que se proporcione, mediante la ficha de información precontractual, una información mucho más amplia y detallada a cualquier interesado que la establecida por el art. 3. Por su parte, el art. 4 ha omitido la exigencia de entregar, con carácter previo a la oferta vinculante, una ficha de información personalizada con la que se permite al consumidor comparar los préstamos disponibles en el mercado, valorar sus implicaciones y adoptar una decisión fundada sobre si debe o no suscribir el contrato, eliminando, además, de la oferta vinculante la referencia al plazo que según la legislación estatal tiene a disposición el consumidor para su análisis. Finalmente, el artículo 5 de la ley impugnada regula la información contractual, reconociendo el derecho del consumidor a examinar el proyecto de documento contractual en el despacho del Notario autorizante, pero omite el derecho a acceder al proyecto de escritura pública de formalización, de manera que el consumidor podría verse sorprendido en el propio despacho del Notario y hallarse ante un proyecto de escritura que no se corresponda en todos sus términos con el proyecto de documentación. Como en el supuesto anterior, del levantamiento de la suspensión se derivaría un perjuicio, tanto para el interés público en el correcto funcionamiento del mercado crediticio como para los intereses de los usuarios de este tipo de servicios financieros, que podría llegar a convertirse en irreparable si llegara a suponer la nulidad del contrato. Del mantenimiento de la suspensión no derivaría, sin embargo, perjuicio irreversible alguno, pues quedaría asegurada en todo caso la aplicación de las garantías comunes de la legislación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cualquier caso, los perjuicios acreditados por la Abogacía de Estado que derivarían del levantamiento de la suspensión, afectarían con carácter general a todo el precepto, en la medida en que éste habría eliminado la garantía de la consulta de la escritura pública, razón por la cual no procede limitar la suspensión, como suplica el Letrado de la Comunidad Autónoma, al primer apartado del art.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arts. 7, 8 y 9 contienen una serie de prescripciones relativas a la potestad sancionadora, a las infracciones en materia de información al consumidor, y a las sanciones, que se consideran contrarias al régimen sancionador previsto en el art. 14 orden EHA/2899/2011. Entiende la Abogacía del Estado que el levantamiento de la suspensión de estos preceptos podría ocasionar dos vulneraciones de los derechos fundamentales. De un lado, al establecerse por la ley autonómica la competencia para sancionar las infracciones en materia de información al consumidor y no limitarlas a las de la legislación de desarrollo, cabría que tanto el Estado como la Comunidad Autónoma sancionaran por la comisión de una misma infracción. De otra, la imposición de una sanción por la Administración autonómica supondría la nulidad de la impuesta por una administración no competente, produciéndose los correspondientes perjuicios para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que, conforme a lo establecido en los apartados anteriores, procede mantener la suspensión del ámbito subjetivo de aplicación de la norma en cuanto a la definición de los consumidores o clientes de estos servicios financieros que se verían afectados y de las obligaciones de información, cuyo incumplimiento constituiría la conducta tipificada como infracción que podría conllevar las sanciones reguladas en los preceptos impugnados, debemos también mantener la suspensión en relación con los arts. 7, 8 y 9 de la ley impugnada, que desempeñan una función puramente instrumental de la regulación que se mantiene suspendida.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arts. 2, 3, 4, 5, 7, 8 y 9 de la Ley de la Asamblea de Madrid, 1/2012, de 26 de marzo, para la protección de los derechos de los consumidores mediante el fomento de la transparencia en la contratación hipotecaria en la Comunidad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