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3363-2013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3363-2013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junio de 2013 tuvo entrada en el Registro General de este Tribunal escrito del Secretario Judicial del Juzgado de lo Social núm. 34 de Madrid al que se acompaña, junto con el testimonio del procedimiento de despido 754-2012, que se tramita en dicho Juzgado, el Auto de 25 de febrero de 2013, por el que se acuerda plantear cuestión de inconstitucionalidad respecto de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lo Social núm. 34 de Madrid se sigue el procedimiento por despido núm. 754-2012, a instancias de demanda presentada por doña Luisa Salomón Powell contra Eulen Seguridad, S.A., y Castellana de Seguridad, S.A., en la que la trabajadora alega que venía prestando servicios como vigilante de seguridad para la empresa Eulen Seguridad, S.A., desde el 17 de febrero de 2009. El 23 de mayo de 2012 la empresa le comunica que, con efectos de 31 de mayo de 2012, pasaría a prestar servicios por cuenta de Casese, la nueva empresa adjudicataria del contrato de vigilancia de las instalaciones en la que venía prestando servicios. Sin embargo, al ponerse la trabajadora en contacto con la nueva adjudicataria del servicio, esta empresa le comunica su negativa a subrogarse en su contrato laboral, ante lo cual la trabajadora se dirige a su empresa de origen para la asignación de un servicio, sin que tal pretensión fuera atendida. La demanda tuvo entrada en el Juzgado de lo Social núm. 34 de Madrid el día 2 de julio de 2012, y se acordó su admisión a trámite en fecha 20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 juicio con fecha 31 de octubre de 2012, en la misma fecha se dicta providencia por el Juzgado de lo Social núm. 34 de Madrid dando trámite de audiencia de diez días a las partes y al Ministerio Fiscal (art. 35.2 de la Ley Orgánica del Tribunal Constitucional: LOTC) para formular alegaciones sobre la pertinencia de plantear cuestión de inconstitucionalidad respecto del Real Decreto-ley 3/2012 globalmente considerado por posible lesión de los arts. 1.3 y 86.1 CE; la disposición transitoria quinta del Real Decreto-ley 3/2012 por vulneración de los arts. 9.3 y 24.1 CE, y finalmente, el art. 18.8 del citado Real Decreto-ley por contravenir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procesal de la trabajadora demandante, en escrito registrado el 10 de diciembre de 2012, solicitó el planteamiento de la cuestión de inconstitucionalidad por vulneración de lo dispuesto en los arts. 35.1 y 86.1 CE. Ni las empresas demandadas ni el Ministerio Fiscal formularon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Social núm. 34 de Madrid dictó Auto de 25 de febrero de 2013, por el que se acuerda elevar cuestión de inconstitucionalidad ante el Tribunal Constitucional, respecto de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En dicho Auto se ordenaba asimismo que se citara a las partes a comparecencia a fin de adoptar medidas no nucleares. Dicha comparecencia tuvo lugar el 12 de abril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24 de mayo de 2013, el Juzgado de lo Social núm. 34 de Madrid dictó nuevo Auto de “medidas provisionales no nucleares”, en el que, tras fijar los hechos probados del litigio y razonar que la extinción debe ser calificada judicialmente como despido improcedente,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en el presente caso,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Eulen Seguridad a que, de acuerdo con la opción que ha ejercitado anticipadamente en la comparecencia, readmita con mantenimiento de la relación laboral y abono a doña Luisa Salomón Powell de los salarios dejados de percibir desde el día siguiente al despido y hasta la fecha en que la reincorporación tenga lugar efectivamente, a razón del salario total declarado probado en el hecho primero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pudiera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libre absolución de la codemandada Castellana de Seguridad Sociedad Anónima.”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25 de febrero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expone en el Auto, en primer término, el juicio de aplicabilidad y relevancia sobre las normas cuestionadas, indicando, reproduciendo argumentos que ya aparecían en la providencia, las razones por las que considera que en el proceso a quo, la extinción de la relación laboral ha de ser calificada como un supuesto de despido improcedente, y las consecuencias de dicha calificación de improcedencia deberían ser, de acuerdo con la fecha de efectos de la extinción, 1 de junio de 2012, las previstas en el texto refundido de la Ley del estatuto de los trabajadores (LET) en la redacción vigente en dicha fecha, esto es, la que le dio el Real Decreto-ley 3/2012, de 11 de febrero, que entró en vigor el 12 de febrero y permaneció vigente hasta el día 7 de julio, en que fue sustituido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el Magistrado-Juez afirma que la norma de aplicación es arbitraria pues determina que la indemnización por despido improcedente que correspondería al trabajador sea de inferior importe a la que reconocía la normativa precedente, siendo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vinculante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 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le impide al órgano judicial pronunciarse sobre la calificación del despido y los efectos de tal calificación (opción e indemnización, situación legal de desempleo, etc.),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julio de 2013, la Sección Tercera de este Tribunal Constitucional acordó, a los efectos que determina el art. 37.1 LOTC, oír al Fiscal General del Estado para que, en el plazo de diez días, alegase lo que considerase conveniente acerca de la admisibilidad de la presente cuestión de inconstitucionalidad, en relación con el Auto de 24 de mayo de 2013, dictado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ante este Tribunal el día 18 de septiembre de 2013, en el que interesa la inadmisión a trámite de la cuestión de inconstitucionalidad planteada por carecer de objeto, al haberse resuelto sobre el fono de la acción ejercitada.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resuelve en el Auto de planteamiento convocar a las partes a una comparecencia y tras celebrase esta dicta un Auto denominado de medidas provisionales no nucleares en el que resuelve calificar el despido como improcedente y condena al abono de la indemnización correspondiente.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los salarios de tramitación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de 25 de febrero de 2013 y de 24 de mayo de 2013 es la voluntad renuente a la adopción de la medida dispuesta en el art. 35.3 LOTC, consistente en la suspensión del procedimiento hasta la definitiva resolución de la cuestión por el Tribunal Constitucional. A su juicio, afirmar que lo resuelto por el Auto de 24 de mayo de 2013 son meras cuestiones no nucleares no puede sino calificarse como un ejercicio de voluntarismo estéril que no oculta la realidad de la continuación del procedimiento y la resolución sobre el fondo de la pretensión deducida por el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tal razón expone que la cuestión presenta una manifiesta carencia de objeto, que debe llevar a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por apreciar que carece de objeto al haberse resuelto el fondo de la acción ejercitada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guarda claras similitudes con la núm. 438-2013 planteada por el mismo órgano judicial. La mencionada cuestión ha sido inadmitida a trámite por el ATC 277/2013, de 3 de diciembre, al que hemos de remitirnos.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Debemos recordar, en primer lugar que el hecho de que la redacción dada por el Real Decreto-ley 3/2012 a los preceptos objeto del presente procedimiento haya sido sustituida por la establecida en la Ley 3/2012, de 6 de julio, sobre medidas urgentes para la reforma del mercado laboral no conlleva, por sí sola, la pérdida del objeto de la cuestión planteada pues, atendidas las fechas de entrada en vigor de ambas normas,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así como a los amplios términos empleados respecto a dos de las normas cuestionadas, pues “la cuestión de inconstitucionalidad no es un instrumento procesal para buscar una depuración abstracta del Ordenamiento” (STC 235/2007, de 7 de noviembre, FJ 2; o SSTC 55/2010, de 4 de octubre, FJ 2;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El resultado de dicho examen es que, por las mismas razones que en el caso examinado en el ATC 277/2013, de 3 de diciembre, FJ 2, la duda de constitucionalidad, tanto en relación con la utilización del instrumento normativo del real decreto-ley (art. 86.1 CE) como respecto a las específicas dudas de contenido elevadas (arts. 9.3, 24.1 CE, y en su caso, art. 35.1 CE), ha de quedar limitada al apartado 2 de la disposición transitoria quinta del Real Decreto-ley 3/2012, por el que se fija el criterio de cálculo de la indemnización por despido improcedente de los contratos formalizados antes de la entrada en vigor de este Real Decreto-ley; y el art. 18.8 de dicho Real Decreto-ley 3/2012, por el que se da nueva redacción al art. 56.2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objeto de la cuestión, cumple poner ahora de manifiesto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del trabajador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examen de dicho óbice atenderemos al ATC 277/2013, de 3 de diciembre, FJ 3, cuyas apreciaciones y conclusiones resumimos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este Tribunal ha admitido que el órgano judicial a quo pueda adoptar las medidas cautelares precisas para asegurar las resultas del juicio o incluso los efectos de la futura Sentencia de este Tribunal resolviendo la cuestión, sin que tampoco exista obstáculo para que lleve a cabo otros actos de instrucción y de ordenación del proceso, ha exigido que “no guarden relación con la validez de la ley cuestionada, pues el proceso de fondo sigue pendiente ante él en situación procesal de detención” (ATC 313/1996, 29 octubre, FJ 2; ATC 186/2009, 16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el órgano judicial, tras elevar a este Tribunal el Auto de planteamiento de la cuestión, ha dictado un nuevo Auto en que declara la improcedencia del despido y condena a la empresa demandada a que, en el plazo de cinco días, opte entre readmitir al trabajador con abono de los salarios dejados de percibir o resolver el contrato con el pago de la indemnización indicada. Con esa decisión el Magistrado-Juez está haciendo directa aplicación de las normas del Real Decreto-ley 3/2012 que son objeto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