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7556-2013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entrega de las fincas adjudicadas a la entidad ejecutante en el procedimiento de ejecución hipotecaria núm. 1030-2012 seguido en el Juzgado de Primera Instancia e Instrucción núm. 2 de Écija.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30 de diciembre de 2013, doña Nuria Corona Segura, representada por la Procuradora de los Tribunales doña María Luisa Noya Otero y asistida por el Letrado don Antonio Rengel Burgos, interpuso recurso de amparo contra el Auto dictado el 18 de noviembre de 2013 por el Juzgado de Primera Instancia e Instrucción núm. 2 de Écija, que desestimó la petición de nulidad de actuaciones promovida en el proceso de ejecución hipotecaria núm. 1030-2012.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la vulneración del derecho a obtener la tutela judicial efectiva sin indefensión (art. 24.1 CE), al no haber sido emplazada ni requerida de pago la demandante en su domicilio real, aduciéndose que la entidad ejecutante ocultó dicho domicilio sin que el órgano jurisdiccional realizara ninguna diligencia previa a la comunicación edictal, por lo que solicita que se dicte sentencia declarando la vulneración del citado derecho fundamental del art. 24.1 CE y, en consecuencia, anular el Auto de 18 de noviembre de 2013 recurrido, con retroacción de actuaciones al momento del emplazamiento y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56.3 de la Ley Orgánica del Tribunal Constitucional (LOTC), la demandante solicita la suspensión de la ejecución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la admisión a trámite de la demanda de amparo por providencia de fecha 23 de octubre de 2014 y formar la correspondiente pieza separada de suspensión. De conformidad con lo previsto en el art. 56 LOTC, se concedió un plazo común de tres días al Ministerio Fiscal y a la parte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recurrente presentó escrito el 31 de octubre de 2014, en el que solicita que se le otorgue la suspensión, afirmando que, de no acordarse, se producirían perjuicios irreparables pues si se pone en posesión a la entidad ejecutante de la finca subastada devendría ineficaz una posible resolución favorable al actor en el recurso de amparo, perdiendo su finalidad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 escrito de alegaciones en fecha 5 de noviembre de 2014, en el que interesa que se dicte Auto acordando la suspensión de la resolución recurrida en la demanda de amparo, en aplicación de la doctrina contenida, entre otros, en los AATC 56/2013, 74/2013 y 37/2014, pues la efectiva adjudicación de la finca subastada a la entidad ejecutante provocaría una situación de muy difícil o imposible reparación para el caso de una eventual estimación del presente recurso de amparo. Asimismo, el Fiscal interesa que se acuerde la medida cautelar de anotación preventiva de la demanda en el Registro de la Propiedad como complemento de la medida de suspensión, con el fin de garantizar el derecho de la demandante de amparo frente a eventuales y futuros actos de disposición del bien hipotecado.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pieza cautelar de suspensión consiste en analizar su procedencia, en relación con las actuaciones seguidas ante el Juzgado de Primera Instancia e Instrucción núm. 2 de Écija, en el procedimiento de ejecución hipotecaria núm. 1030-2012 de las que dimana el Auto recurrido en amparo, de fecha 18 de noviembre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del apremio y este Tribunal viene reiterando que, en los supuestos en que la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es viable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(por todos, AATC 220/2008, de 14 de julio, FJ 2; 64/2009, de 23 de febrero, FJ 2; 56/2013, de 25 de febrero, FJ 2; 287/2013, de 16 de diciembre, FJ 2; y 37/2014, de 10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se solicita la anulación del Auto de fecha 18 de noviembre de 2013 que desestimó el incidente de nulidad de actuaciones que planteó la demandantes, así como la de todos los actos procesales desde el emplazamiento y requerimiento de pago. En función de ello, la suspensión interesada trasciende de la resolución formalmente impugnada, que era el Auto desestimatorio del incidente de nulidad de actuaciones y la medida que la parte actora pretende es la retroacción de actuaciones y una nueva tramitación del proceso de ejecución hipotecaria desde su inicio.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estas circunstancias, si no se adoptase una medida cautelar se podría materializar la transmisión del dominio de las fincas a favor de la entidad ejecutante, a quien han sido adjudicadas conforme al art. 671 de la Ley de enjuiciamiento civil, estando pendiente su puesta en posesión o entrega, con la consiguiente creación de una situación difícilmente reversible que menoscabaría los fines del presente recurso. Por otra parte, no se percibe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debe acordarse la solicitud de anotación preventiva de la demanda formulada por el Fiscal, en coherencia con la doctrina jurisprudencial de este Tribunal que subraya: “Cuando como en el presente caso se solicita como medida cautelar la anotación preventiva de la demanda de amparo en el Registro de la Propiedad, hemos señalado en ocasiones precedentes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existe título de adjudicación de las fincas a favor de la entidad ejecutante, estando únicamente pendiente su entrega o puesta en posesión, según se alega, de manera que la medida instada cumple el fin de garantizar el derecho de la demandante de amparo frente a eventuales actos de disposición, mediante el anuncio registral frente a terceros de la pendencia del proceso constitucional con sus eventuales consecuencias sobre los derechos inscritos.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expuestos, de conformidad con la doctrina expuesta, y sin prejuzgar la decisión de fondo del recurso, conducen a acordar la suspensión solicitada, que ha de entenderse referida concretamente a la entrega de las fincas adjudicadas a favor de la entidad ejecutante en el procedimiento ejecutivo núm. 1030-2012, y ordenar la anotación preventiva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entrega de las fincas adjudicadas a la entidad ejecutante en el procedimiento de ejecución hipotecaria núm. 1030-2012 seguido en el Juzgado de Primera Instancia e Instrucción núm. 2 de Écija.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los inmuebles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