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7067-2014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7067-2014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1.2 b), 2.1, letras i) y j), y 16.10 de la Ley del Parlamento de Cataluña 3/2014, de 19 de febrero, de horarios comerciales y de medidas para determinadas actividades de promoción.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arts. 3.1 y 3.2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24 de noviembre de 2014, el Abogado del Estado, en representación del Presidente del Gobierno, interpuso recurso de inconstitucionalidad contra los arts. 1.2 b), 2.1, letras i) y j), 3.1, 3.2 y 16.10 de la Ley del Parlamento de Cataluña 3/2014, de 19 de febrero, de horarios comerciales y de medidas para determinadas actividades de promoción.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norma impugnada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diciembre de 2014, el Pleno acordó admitir a trámite el recurso y, de conformidad con lo establecido en el art. 34 de la Ley Orgánica del Tribunal Constitucional (LOTC), dar traslado de la demanda al Congreso de los Diputados, al Senado, a la Generalitat de Cataluña y al Parlamento de Cataluña, al objeto de personarse en el proceso y formular alegaciones en el plazo de quince días. Asimismo, se tuvo por invocado por el Presidente del Gobierno el art. 161.2 CE, lo que, a su tenor, produjo la suspensión de la vigencia y aplicación de los preceptos impugnados. Finalmente, se acordó publicar la incoación del recurso de inconstitucionalidad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10 de diciembre de 2014, el Presidente del Senado comunicó que la Cámara se personaba en el proceso, ofreciendo su colaboración a los efectos del art. 88.1 LOTC. Por su parte, el Presidente del Congreso de los Diputados comunicó el día 11 de diciembre de 2014 el acuerdo de la Mesa de la Cámara en el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presentó su escrito de alegaciones el día 30 de diciembre de 2014. En primer otrosí, solicita el levantamiento inmediato de la suspensión de los preceptos impugnados, alegando al respecto lo que se sintetiza seguidamente.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Resulta necesario preservar los intereses públicos cuya tutela está encomendada a la Generalitat, relativos a la defensa de consumidores y usuarios y a la preservación de un modelo comercial que cohoneste los intereses de consumidores y comerciantes con las exigencias de una ordenación territorial y urbanística sostenible, que postula una ciudad compacta, que favorece el comercio de proximidad y que contribuye a la sostenibilidad ambiental al evitar la contaminación derivada de los desplazamientos, garantizando además la accesibilidad, especialmente en supuestos de movilidad reducida.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comportaría una desregulación, generando el desplazamiento de la demanda a distintas franjas horarias y formatos comerciales y favoreciendo la expansión de grandes centros comerciales periurbanos en detrimento del comercio inserto en los centros urbanos. Esta inercia podría provocar una destrucción prácticamente irreversible del modelo comercial en Cataluña, dado que la destrucción del tejido comercial urbano es de muy difícil regeneración.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consideración no es una mera apreciación gubernamental, sino un temor que comparte gran parte del sector comercial catalán, como demuestra la “Declaración del comercio catalán en defensa del modelo propio del país” que se acompaña como documento núm.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 desprende del ATC 153/2014, de 27 de mayo, FJ 1, no existe un pronunciamiento del Tribunal que resulte concluyente sobre los límites inequívocos de la competencia estatal ex art. 149.1.13 CE en materia de horarios comerciales y venta en rebajas.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siendo una cuestión de fondo en la que no procede entrar en fase cautelar, aboga, junto al principio de presunción de constitucionalidad de las leyes, en pro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los perjuicios de imposible reparación a los que se ha aludido, el levantamiento de la suspensión no puede causar perjuicio a los intereses del Estado o a los de terceros, dado que los preceptos impugnados no afectan a la demanda comercial, que es la variable que tiene una incidencia efectiva en el volumen de ventas, y con ello en la marcha general de la economía o en el sector comercial en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17 de diciembre de 2014, se registró en este Tribunal el escrito de la Letrada del Parlamento de Cataluña, personándose en el proceso y solicitando prórroga del plazo para formular alegaciones, prórroga que le fue concedida por ocho días a contar desde la expiración del plazo ordinario, mediante providencia del Pleno de 18 de diciembre de 2014. En el escrito de alegaciones, registrado con fecha 14 de enero de 2015, solicita mediante primer otrosí el levantamiento inmediato de la suspensión de los preceptos impugnados, en atención a las alegaciones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mantenimiento de la suspensión comporta perjuicios inmediatos e irreparables en la estructura comercial catalana y en la conciliación de la vida laboral y familiar de las cerca de 300.000 personas que trabajan en el comercio al detalle, al suponer una desregulación casi completa de los días y horarios de apertura comercial, produciendo el desplazamiento de la demanda a distintas franjas horarias y formatos comerciales y propiciando la expansión de grandes centros comerciales periurbanos en detrimento del comercio inserto en los centros urbanos. Esta inercia podría provocar una destrucción prácticamente irreversible del modelo comercial en Cataluña, dado que la destrucción del tejido comercial urbano es de muy difícil regeneración. Causaría un efecto indeseado, como es el predominio de la posición dominante de los grandes centros comerciales hacia el pequeño comercio.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el contrario, el levantamiento de la suspensión no produce tales perjuicios de imposible o difícil reparación, una vez valorados los intereses confluyentes, porque su efecto sería el mantenimiento de un régimen regulador de los horarios comerciales cuya vigencia, en su mayor parte, se remonta a la Ley catalana 8/2004, de 23 de diciembre, de horarios comerciales, que los preceptos ahora impugnados reproducen en buena parte. Del mismo modo, los períodos de rebajas fueron establecidos por el Decreto 150/1996, de 30 de abril, en virtud de lo establecido por la Ley estatal 7/1996, de 15 de enero, de ordenación del comercio minorista.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tanto se resuelve la controversia de fondo, no se ve afectado ningún derecho público o general, ni interés particular o privado, toda vez que los comerciantes podrán establecer el horario de apertura de sus establecimientos de conformidad con los medios materiales y personales disponibles, respetando las condiciones del personal laboral que tengan contratado, y sin que el régimen jurídico en vigor hasta la fecha les haya generado perjuicio económico. A lo sumo, la eventual declaración de inconstitucionalidad producirá un efecto pro futuro (favorable o desfavorable) en sus expectativas de negocio.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levantamiento de la suspensión de los preceptos impugnados no produce perjuicios de imposible o difícil reparación porque no afecta a la demanda comercial, que es la variable que tiene una incidencia efectiva en el volumen de ventas, y con ello en la marcha general de la economía o en el sector comercial en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28 de enero de 2015, el Abogado del Estado presentó sus alegaciones sobre la suspensión de la Ley recurrida, interesando la denegación de la solicitud de levantamiento de la suspensión, y su mantenimiento durante toda la pendencia del recurso, en atención a las razones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norma recurrida deroga el Decreto-ley 4/2012, de 30 de octubre, de medidas en materia de horarios comerciales, objeto del recurso de inconstitucionalidad núm. 630-2013, cuya suspensión fue mantenida mediante ATC 146/2013, de 5 de junio, por considerar que la capacidad de bloqueo de una ley autonómica respecto del ejercicio de competencias atribuidas al Estado excede de las situaciones normales de controversia competencial. A diferencia del derogado Decreto-ley 4/2012, la casi idéntica Ley catalana 3/2014 ahora recurrida, con la finalidad de eludir esta doctrina del bloqueo competencial, no declara terminantemente la intención de bloquear el ejercicio de competencias estatales, sino que apela a los efectos irreparables que comportaría la falta de una regulación adecuada en las materias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claro paralelismo entre los preceptos derogados y los ahora recurridos produce un doble efecto: mediante la simple sustitución de los preceptos suspendidos por el ATC 146/2013, se perpetúa el efecto de bloqueo sobre la competencia estatal y se incumple dicho Auto, consiguiendo así la vigencia, aunque temporal, de preceptos que el Tribunal había ordenado suspender hasta la resolución de la controversia competencial subyacente.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se produce la desregulación y el vacío normativo invocados por la Generalitat y el Parlamento de Cataluña, puesto que la normativa estatal (Ley 1/2004, de 21 de diciembre, de horarios comerciales, la Ley 7/1996, de 15 de enero, de ordenación del comercio minorista, ambas modificadas por el Real Decreto-ley 20/2012, de 13 de julio, de medidas para garantizar la estabilidad presupuestaria y de fomento de la competitividad), regula tanto los horarios como las ventas promocionales (AATC 392/1992, de 29 de octubre, FJ 3; 248/1995, de 19 de diciembre, FJ 2, y 225/2009, de 27 de julio,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en realidad produciría el alzamiento de la suspensión de la norma autonómica sería un supuesto de superposición normativa sobre un mismo supuesto de hecho. Incluso admitiendo a los solos efectos dialécticos que la materia quedara temporalmente sin regulación, la Generalitat y el Parlamento de Cataluña no explicitan los daños que ello produciría sobre el interés general o los intereses privados, ni el principio o precepto constitucional que resultaría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restricción horaria es una medida que afecta a la libertad de empresa (art. 38 CE). El legislador la puede limitar, pero es perfectamente ejercitable en caso contrario, generando una recuperación de la plena libertad horaria que habilitaría al comerciante a sujetarse al horario que tuviera por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alegaciones de la Generalitat y el Parlamento de Cataluña no indican o razonan en qué consiste el modelo comercial de Cataluña, en qué se diferencia del existente en el resto de España, qué razones de interés público justifican su conservación y en qué medida la aplicación de la norma estatal puede afectar a su pervivencia.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conciliación de la vida familiar y profesional de los comerciantes, a la que se alude en dichas alegaciones, no puede resultar ni remotamente afectada por la suspensión de la norma autonómica, puesto que la norma estatal establece unos umbrales de límites horarios dentro de los cuales los comerciantes son enteramente libres para establecer sus horarios, organizar su negocio como lo consideren oportuno y, por tanto, para conciliar su vida personal y familiar como estimen más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interés público que subyace al mantenimiento de la suspensión se concreta en el fomento, promoción, apoyo y atención al sector comercial, aliviando la regulación horaria para crear un espacio de libertad y autonomía empresarial que permita al comercio adaptarse flexiblemente a las circunstancias, competir con más eficacia, potenciar actividades económicas esenciales como el turismo y equipararse con otras actividades empresariales concurrentes que no sufren restricción horaria (bares, restaurantes, cines…). En definitiva, se trata de facilitar el consumo para potenciar la recuperación económica y el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2014, el PIB ha crecido en España un 0,5 por 100 trimestral, habiendo predicho el FMI un crecimiento del 1,7 para 2015, y el Banco de España un avance del 1,3 por 100 en este año y del 2 por 100 el próximo. El consumo de las familias supone el 55 por 100 del PIB, y el turismo el 11 por 100. Es evidente por tanto que el crecimiento del PIB y la recuperación económica dependen en gran medida del consumo, por lo que es ineludible apuntalar su crecimiento.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los datos incluidos en el informe de la Dirección General de Comercio Interior del Ministerio de Industria, Comercio y Turismo, que se adjunta como documento núm. 1, la ampliación de la libertad horaria repercute sobre: el incremento (o menor reducción) de locales destinados al comercio minorista en relación con otras Comunidades Autónomas que aplican regímenes de mayor libertad horaria; el número de empleos en el comercio minorista; la variación del índice de precios al consumo; el incremento del turismo, atraído en gran medida por el comercio (se aporta como documento núm. 2 el Plan de turismo de compras 2015 elaborado por la Secretaría de Estado de Comercio); la necesidad de competir con otras formas de comercio, como el electrónico; y la oportunidad de interaccionar con otras actividades económicas en particular las relativas al ocio y al turismo.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libertad horaria es así un instrumento esencial para estimular y fortalecer el comercio, el consumo, el turismo y, con ello, el crecimiento económico. La pervivencia de limitaciones horarias constituye una rémora al libre ejercicio de la actividad comercial, con las repercusiones antedichas, que puede obstaculizar decisivamente la recuperación económica, produciendo un trascendente daño, si no irreparable, de dificilísima y costosa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ha de valorarse la reparabilidad de los perjuicios invocados por la Generalitat. La regulación estatal en la materia no limita la facultad del comerciante para organizar su actividad a su criterio en ejercicio de su libertad de empresa, y al no verse afectado este interés particular no puede afirmarse que tal afectación pudiera ser de imposible o difícil reparación. Según relata el aludido informe de la Dirección General de Comercio Interior, en las Comunidades Autónomas que han aplicado mayor libertad horaria la reducción de locales comerciales ha sido menor y el número de empleos en el sector ha crecido 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y aplicación que afecta a los arts. 1.2 b), 2.1, letras i) y j), 3.1, 3.2 y 16.10 de la Ley del Parlamento de Cataluña 3/2014, de 19 de febrero, de horarios comerciales y de medidas para determinadas actividades de promoción.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reiterada de este Tribunal señala que la decisión en estos incidentes cautelares requiere ponderar los intereses públicos y privados concernidos, y los perjuicios de imposible o difícil reparación que puedan derivarse del mantenimiento o levantamiento de la suspensión. Esta valoración debe efectuarse mediante el estricto examen de las situaciones de hecho creadas, dejando al margen la viabilidad de las pretensiones que se formulan en la demanda.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 hemos recordado, entre tantos otros, en los recientes AATC 205/2014, de 22 de julio, y 265/2014, de 4 de noviembre, añadiendo que se trata de dilucidar si los perjuicios que han sido alegados por el Abogado del Estado, tienen la gravedad y consistencia necesarias como para prevalecer sobre la presunción de legitimidad de la Ley autonómica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con carácter previo a efectuar la ponderación en los términos que han quedado someramente descritos, debemos pronunciarnos sobre la primera alegación del Abogado del Estado. Como ha quedado expuesto con mayor detalle en los antecedentes, invoca el ATC 146/2013, de 5 de junio, que mantuvo la suspensión de los preceptos del Decreto-ley de Cataluña 4/2012, de 30 de octubre, de medidas en materia de horarios comerciales y determinadas actividades de promoción, que fueron objeto del recurso de inconstitucionalidad núm. 630-2013. A su juicio, el claro paralelismo existente entre el contenido de dichos preceptos suspendidos y los ahora recurridos de la Ley 3/2014, que deroga el Decreto-ley 4/2012, produce un doble efecto: se perpetúa el efecto de bloqueo sobre la competencia estatal y se incumple dicho Auto, consiguiendo así la vigencia, aunque temporal, de preceptos que el Tribunal había ordenado suspender hasta la resolución de la controversia competencial subyacente.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146/2013 recuerda que “son reiterados los pronunciamientos de este Tribunal sobre el levantamiento de la suspensión de normas autonómicas en materia de horarios comerciales y ventas promocionales (entre otros, AATC 20/2002, de 12 de febrero, 47/2002, de 21 de marzo, 453/2006, de 12 de diciembre)” (FJ 2), debiendo sumarse a los citados el más reciente ATC 153/2014, de 27 de mayo. La decisión de mantener la suspensión adoptada en el ATC 146/2013 se basó en una peculiaridad: “cabe constatar, a partir de una mera lectura de su exposición de motivos y del escrito de alegaciones de la Generalitat de Cataluña en el que solicita el levantamiento anticipado de la suspensión de la norma autonómica, que ésta ha sido dictada con la finalidad de suspender los efectos de la legislación estatal básica” (FJ 2), prosiguiendo un análisis más pormenorizado de estos extremos que, partiendo de que existen supuestos en los que no cabe seguir la doctrina de este Tribunal sobre la necesidad de acreditar o demostrar los perjuicios que conllevaría el levantamiento de la suspensión, condujo a la siguiente conclusión: “la finalidad expuesta en la norma impugnada de ejercer una competencia propia para bloquear el ejercicio por el Estado de las suyas, constituye un supuesto de clara trascendencia constitucional que debe llevarnos al mantenimiento de la suspensión de la norma autonómica impugnada mientras se determina por este Tribunal la conformidad con la distribución competencial de las normativas, estatal y autonómica, impugnadas”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los preceptos impugnados en el presente proceso, se aprecia que los arts. 1.2 b) y 2.1, letras i) y j), de la Ley del Parlamento de Cataluña 3/2014, reproducen (con diferencias irrelevantes de redacción) el contenido de los arts. 1.2 b) y 2.1, letras i) y j), de la Ley del Parlamento de Cataluña 8/2004, de 23 de diciembre, de horarios comerciales, en la redacción dada por los arts. 1 y 2 del Decreto-ley 4/2012, de 30 de octubre, de medidas en materia de horarios comerciales y determinadas actividades de promoción; lo mismo sucede con el art. 16.10 de la Ley de Cataluña 3/2014 respecto de lo establecido por el art. 5 del citado Decreto-ley 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la sustancial identidad objetiva entre el contenido de la regulación suspendida mediante el ATC 146/2013 y la que ahora se somete a nuestra consideración, la resolución ha de ser la misma que adoptamos en el citado Auto. De no hacerlo así, como señala el Abogado del Estado, el efecto evidente de esta sucesión normativa sería la vigencia de una regulación cuya suspensión ordenó este Tribunal hasta la resolución de la controversia competencial subyacente, contrariando lo establecido en dicha resolución y menoscabando su eficacia, y este resultado no sería conforme con el obligado cumplimiento de las resoluciones del Tribunal Constitucional, al que están obligados todos los poderes públicos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al no haberse regulado en el precedente Decreto-ley 4/2012 la determinación de los municipios turísticos a los efectos de la aplicación del régimen de horarios comerciales, la conclusión anterior no resulta de aplicación a los apartados 1 y 2 del art. 3 de la Ley del Parlamento de Cataluña 3/2014. Para esta regulación procede en consecuencia entrar en la ponderación propia de este incidente cautelar, examinando si los perjuicios que han sido alegados por el Abogado del Estado, sobre el que pesa la carga de acreditar su existencia y su imposible o difícil reparación, tienen la gravedad y consistencia necesarias como para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alegaciones del Abogado del Estado que, más que cumplir con esa carga, ponen el acento en rebatir los argumentos de las otras partes procesales, ya hemos señalado que no procede adentrarse en este planteamiento, “porque supone desplazar a la parte demandada la carga de acreditar la existencia de los perjuicios y su imposible o difícil reparación, y como ya hemos señalado, en este trámite procesal tal acreditación atañe al Abogado del Estado” [ATC 122/2013, de 21 de mayo,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resto de las alegaciones contienen argumentos de carácter genérico sobre el conjunto de la regulación impugnada, sin acreditar o razonar suficientemente, a partir de las situaciones concretas que podrían producirse, los perjuicios consistentes en la pérdida de beneficios de los comerciantes y de puestos de trabajo que serían el resultado de aplicar la regulación catalana sobre la determinación de los municipios turísticos al régimen de horarios comerciales. En todo caso, aplicando las mismas pautas analíticas utilizadas en el ATC 153/2014, de 27 de mayo, FJ 2, hemos de partir del informe de la Dirección General de Comercio Interior del Ministerio de Industria, Comercio y Turismo, que expone la evolución en Cataluña de distintas magnitudes en el periodo 2000-2014: reducción del número de establecimientos de comercio al por menor del 12,3 por 100, frente al 5,4 por 100 del conjunto de España; aumento de la ocupación en el comercio minorista del 22 por 100, frente al 23,6 por 100 del conjunto de España; variación del índice de precios de consumo del 49,5 por 100, frente al 44,3 por 100 del conjunto de España. Como puede apreciarse, son datos que abarcan un periodo temporal muy superior al que resulta relevante a los efectos de esta resolución, y en el que se han sucedido normas tanto estatales (Real Decreto-ley 6/2000, de 23 de junio, de medidas urgentes de intensificación de la competencia en mercados de bienes y servicios; y Ley 1/2004, de 21 de diciembre, de horarios comerciales, modificada por el Real Decreto-ley 20/2012, de 13 de julio) como autonómicas (Ley 8/2004, de 23 de diciembre, de horarios comerciales, modificada por el Decreto-ley 4/2012, de 30 de octubre, y Ley 3/2014, de 19 de febrero), de las que resulta una regulación que ha experimentado variaciones significativas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anteriores datos, las alegaciones del Abogado del Estado y el informe que las acompaña añaden una serie de razones que no se dirigen a acreditar o razonar los perjuicios que se derivarían del levantamiento de la suspensión, como sería de rigor, sino que abundan en las ventajas genéricas de la liberalización, y que son en buena parte coincidentes con las que ya fueron ponderadas en el ATC 153/2014, FJ 2: que otorgan libertad a los comerciantes; que conllevan un aumento del consumo de los turistas principalmente en compras no cotidianas; que la apertura de los comercios en días de ocio incrementa las posibilidades de aumentar las ventas; que España es uno de los países más restrictivos de Europa; y que no tiene sentido mantener una regulación restrictiva de horarios comerciales ante las posibilidades que ofrece el comercio electrónico.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apreciáramos en el ATC 153/2014, nada de lo anterior proporciona base suficiente para acreditar los perjuicios de imposible o difícil reparación que se producirían de aplicarse el régimen de determinación de los municipios turísticos establecido en los apartados 1 y 2 del art. 3 de la Ley del Parlamento de Cataluña 3/2014, al no establecer conexión alguna entre las características del comercio en esta Comunidad Autónoma, los efectos de las mencionadas medidas liberalizadoras y, sobre todo, la importancia de las limitaciones introducidas por estos preceptos.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1.2 b), 2.1, letras i) y j), y 16.10 de la Ley del Parlamento de Cataluña 3/2014, de 19 de febrero, de horarios comerciales y de medidas para determinadas actividades de promoción.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arts. 3.1 y 3.2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respecto del Auto dictado en el recurso de inconstitucionalidad núm. 7067-2014, al que se adhieren los Magistrados don Luis Ignacio Ortega Álvarez y don Juan Antonio Xiol Ríos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 de la Ley Orgánica del Tribunal Constitucional LOTC), y desde el respeto a la decisión mayoritaria, expreso mi discrepancia con la decisión de mantener la suspensión de los arts. 1.2 b), 2.1, letras i) y j), y 16.10 de la Ley del Parlamento de Cataluña 3/2014, de 19 de febrero, de horarios comerciales y de medidas para determinadas actividades de promoción, por las razones manifestadas durante la deliberación, que sucintamente expongo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ratio decidendi del ATC 146/2013, de 5 de junio, que se invoca como precedente, se basó una circunstancia singular: la finalidad, explícita en la norma allí concernida (Decreto-ley de Cataluña 4/2012, de 30 de octubre) de ejercer una competencia propia para bloquear el ejercicio por el Estado de las suyas. El Tribunal apreció que tal propósito constituye un supuesto de clara trascendencia constitucional que por sí solo determina el mantenimiento de la suspensión de los preceptos impugnados, sin necesidad de entrar en el juicio de ponderación propio de estos incidentes cautelares.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juicio esta doctrina, revestida de un carácter rigurosamente excepcional, no hubiera debido extenderse a la Ley del Parlamento de Cataluña 3/2014, pese a la coincidencia, incluso la identidad, de las disposiciones recurridas en el proceso que dio lugar al ATC 146/2013 con las controvertidas en éste. Porque son de mayor trascendencia las significativas diferencias entre ambas normas, y hubieran primado de haberse otorgado la debida relevancia al principio de presunción de constitucionalidad, que llega a su grado máximo en el caso del legislador, al ser sus decisiones expresión de la voluntad popular (ATC 90/2010, de 14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estamos ante normas emanadas de órganos estatutarios diferentes y adoptadas en períodos legislativos asimismo diferentes: si el Decreto-ley 4/2012 es una disposición legislativa provisional aprobada por el Gobierno de la Generalitat de Cataluña al amparo de lo dispuesto por el art. 64.1 del Estatuto de Autonomía de Cataluña, la norma objeto de este proceso, la Ley 3/2014, es fruto de la decisión legislativa del Parlamento de Cataluña surgido de las elecciones celebradas el 25 de noviembre de 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anterior distinción formal, y aun con mayor énfasis, hay que añadir que la Ley 3/2014 no expresa la finalidad de suspender o bloquear los efectos de la legislación estatal básica, que era patente en el Decreto-ley 4/2012. Como pone de manifiesto la lectura del preámbulo de la Ley 3/2014, ésta proporciona una justificación de la norma basada en la voluntad de protección del entorno urbano y de los consumidores, finalidades tan legítimas como inequívocamente insertas en el ámbito de las competencias estatutarias de la Generalitat de Cataluña. Sin que ello suponga en modo alguno prejuzgar la controversia de fondo, de haber constreñido nuestra decisión a los elementos objetivos aportados por la norma, dicha justificación de los motivos del legislador catalán, coincidente a grandes rasgos con lo expresado por el Gobierno y el Parlamento de Cataluña en sus alegaciones, hubiera sido suficiente para descartar un propósito de bloqueo de la normativa estatal. El Tribunal no puede, “sin quiebra de toda objetividad en el control que nos corresponde, no ya enjuiciar sino, tan siquiera, introducir en nuestro enjuiciamiento, las intenciones o propósitos con los que se afirme se han aprobado y dictado las leyes, siendo la constitucionalidad o su contrario algo predicable de enunciados jurídico-positivos, sólo de ellos”. Así lo hemos afirmado en la STC 197/2014, de 4 de diciembre, FJ 1, para delimitar los límites objetivos del control de constitucionalidad, y así hubiera procedido confirmarlo ahora para delimitar los límites, igualmente objetivos, del juicio propio de este incidente cautelar.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los antedichos motivos, la decisión de levantar o mantener la suspensión de los citados preceptos debió basarse en lo razonado en el fundamento jurídico 3 del Auto, al que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abril de dos mil quince.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