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878-2014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878-2014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los Autos del Juzgado de Primera Instancia núm. 5 de Ferrol de 9 de octubre de 2013 y 15 de enero de 2014, recaídos en el procedimiento de ejecución hipotecaria núm. 228-2011.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febrero de 2014 tuvo entrada en el Registro General de este Tribunal escrito firmado por el Procurador de los Tribunales don Argimiro Vázquez Guillén, en nombre y representación de don José Luis Calvo Picallo, en virtud del cual interponía recurso de amparo contra el Auto del Juzgado de Primera Instancia núm. 5 de El Ferrol de 15 de enero de 2014, que desestimó el incidente de nulidad de actuaciones promovido por el actor, y el Auto de dicho Juzgado de 9 de octubre de 2013 que desestimaba la oposición planteada en el procedimiento de ejecución hipotecaria núm. 228-2011.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citado Auto del Juzgado de 9 de octubre de 2013 desestimaba la oposición planteada porque ninguno de los motivos en los que la misma se sustentaba tiene acogida en el art. 695 de la Ley de enjuiciamiento civil (LEC) y porque, careciendo la entidad demandada de la condición de consumidor a tenor de lo dispuesto en el Real Decreto Legislativo 1/2007, de 16 de noviembre, no le es de aplicación el motivo de oposición invocado, que es el recogido en el art. 695.1.4 LEC, virtualidad inaplicativa que no resulta modificada por el hecho de que el Sr. Calvo fuera fiador de la entidad deudora, ya que lo decisivo, en opinión del Juzgado, es la condición de las partes intervinientes en el contrato. Como consecuencia de la desestimación de la oposición se acordaba la continuación de la tramitación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Promovido por el recurrente incidente de nulidad, el Auto de 15 de enero de 2014 lo desestimó razonando que la resolución impugnada sí había dado respuesta a las causas de oposición a la ejecución hipotecaria alegadas, aunque en sentido desestimatorio, y que tampoco había ocasionado indefensión, al no haber solicitado la parte ni resultar precisa la celebración de la vista, por haber vertido aquélla sus alegaciones previamente por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el Auto consideraba que la exclusión del concepto de consumidor y, por ende, de la protección a las personas jurídicas, resultaba acorde a las determinaciones del Tribunal de Justicia de la Unión Europea y a la exposición de motivos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se queja en su recurso de la vulneración de su derecho a la tutela judicial efectiva sin indefensión (art. 24.1 CE), en la medida en que el Auto se ha negado a resolver sobre las causas de oposición a la ejecución esgrimidas, de relevante entidad, so pretexto de no encontrarse entre las del art. 695 LEC, y se ha dictado omitiendo la celebración de vista que, de forma imperativa, imponía la disposición transitoria cuarta de la Ley 1/2013, privándole de la posibilidad de argumentar sobre la nulidad de las cláusulas abusivas.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 los Autos recurridos recaídos en el procedimiento de ejecución hipotecaria núm. 228-2011, con el fin de que no se cause un daño irreparable ejecutando y desahuciando a las personas de la vivienda objeto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6 de octubre de 2015 la Sección Tercera de este Tribunal acordó admitir a trámite el recurso de amparo y dirigir comunicación al Juzgado de Primera Instancia núm. 5 de El Ferrol, a fin de que, en el plazo de diez días, remitiera certificación o fotocopia adverada de las actuaciones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15 de octubre de 2015, el Procurador don Argimiro Vázquez Guillén, en nombre y representación de don José Luis Calvo Picallo, formuló sus alegaciones, afirmando, en síntesis, que de no acordarse la suspensión, se producirían perjuicios irreparables dado que se trata de una vivienda en que reside la familia del demandante, constituida por la que fue su esposa y sus dos hijos, uno de ellos menor edad, vivienda de la que se verían privados y que, de ser subastada, pasaría a un tercer hipotecario, haciendo perder al amparo su finalidad. De otra parte, aduce, la suspensión no ocasionará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16 de octubre de 2015, interesa que se otorgue la suspensión solicitada. Tras exponer los antecedentes del caso, señala el Fiscal, con cita de la doctrina de este Tribunal plasmada en el ATC 37/2014, de 10 de febrero, que la procedencia de la suspensión obedece a que el acreedor hipotecario puede fácilmente consolidar una posición sobre los bienes hipotecados jurídicamente inatacable o de muy difícil y costoso restablecimiento, lo que daría lugar, en el caso de que se otorgase el amparo que se pide, a que el mismo perdiera la finalidad que se pretende con su planteamiento.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contra los Autos de 9 de octubre de 2013 y 15 de enero de 2014, dictados por el Juzgado de Primera Instancia núm. 5 de El Ferrol en el juicio de ejecución hipotecaria núm. 228-2011.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regla general es la improcedencia de la suspensión de las resoluciones judiciales, por la perturbación de la función jurisdiccional que la misma supone, salvo en los casos en los que se acredite tanto el carácter irreparable del perjuicio para los derechos fundamentales, como la pérdida de la finalidad del amparo en caso de mantenerse la ejecución de la resolución (por todos, AATC 40/2008, de 11 de febrero; 59/2008, de 20 de febrero; 2/2009, de 12 de enero. y 12/2009, de 26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los últimos,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hemos accedido a la suspensión en aquellos supuestos en los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jurisprudencial de este Tribunal conduce a considerar que, en el presente caso, se solicita la suspensión del procedimiento de ejecución hipotecaria núm. 228-2011, seguido ante el Juzgado de Primera Instancia núm. 5 de El Ferrol, para evitar que se lleve a cabo la venta en pública subasta de la finca hipotecada, alegando el actor que, de ejecutarse dicha venta, no podría recuperar el inmueble, a pesar de que se le otorgara en su día el amparo solicitado. Aduce, además, que el procedimiento de ejecución hipotecaria se sigue contra la vivienda en que reside la familia del demandante, constituida por la que fue su esposa y sus dos hijos, uno de ellos menor de edad; y acompaña copia de sentencia de divorcio y convenio regulador en que se atribuye el uso de la vivienda familiar ubicada en Mourente núm. 12 en A Capela a los hijos y a la esposa, así como certificado de empadronamiento.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esta solicitud, interesa subrayar que una consolidada doctrina constitucional, de la que son buena muestra, entre otros muchos, los AATC 220/2008, de 14 de julio, FJ 2; y 64/2009, de 23 de febrero, FJ 2, citados por el Ministerio Fiscal, o los más recientes AATC 56/2013, de 13 de febrero, FJ 2; 74/2013, de 8 de abril, FJ 2; 152/2013, de 8 de julio, FJ 2, y 37/2014,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análisis de dicha doctrina, y las circunstancias del caso permiten concluir reconociendo la procedencia de adoptar la medida cautelar solicitada, ya que, en otro caso, se podría materializar la transmisión del dominio del inmueble en cuestión si fuera subastado, creando una situación difícilmente reversible que haría perder la finalidad al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no se percibe en este momento procesal que la suspensión de la ejecución pueda entrañar una perturbación grave de los intereses generales o de los derechos fundamentales y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los Autos del Juzgado de Primera Instancia núm. 5 de Ferrol de 9 de octubre de 2013 y 15 de enero de 2014, recaídos en el procedimiento de ejecución hipotecaria núm. 228-2011.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