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dictado por el Juzgado de Primera Instancia núm. 5 de Cartagena el 20 de julio de 2015, en el procedimiento de ejecución hipotecaria núm. 113-2012; con suspensión igualmente del acto de subasta previsto para el próximo día 15 de abril de 2016 y las demás actuaciones relativas a dicha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octubre de 2015 tuvo entrada en el Registro General de este Tribunal Constitucional, un escrito de la Procuradora de los Tribunales doña Ana Llorens Pardo, actuando en nombre y representación del matrimonio formado por doña Elaine Patricia Waite y don Alan Waite, por el que se interpuso demanda de amparo contra el Auto dictado por el Juzgado de Primera Instancia núm. 5 de Cartagena el 20 de julio de 2015, desestimatorio de la solicitud de nulidad del procedimiento de ejecución hipotecaria de bien inmueble núm. 113-2012, seguida contra los recurrentes por la entidad Caixabank, S.A., por impago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en concordancia con lo defendido previamente en el escrito de nulidad de actuaciones, alega la vulneración del art. 24.1 CE en su vertiente de derecho a no padecer indefensión, por cuanto los recurrentes no fueron notificados personalmente del proceso ejecutivo seguido en su contra sino por edictos, al haber resultado infructuoso el intento de emplazamiento en el domicilio designado en la escritura de constitución de la hipoteca, que era el de la propia vivienda ejecutada (sita en la localidad de Los Belones, Murcia), ateniéndose el Juzgado a lo dispuesto literalmente en el art. 686.3 de la Ley de enjuiciamiento civil (LEC). Los recurrentes consideran no justificada en este caso la notificación por la vía excepcional de los edictos, teniendo en cuenta que no se trataba de su vivienda habitual y que en la propia escritura se hacía constar su domicilio real, situado en el condado de Kent (Inglaterra), en el Reino Unido, por lo que el Juzgado debió proveer a su notificación en este último conforme se deriva del art. 156 LEC, así como por la doctrina constitucional que exige al órgano judicial el agotamiento de las gestiones que permitan dicho emplazamiento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 suplico de la demanda, por el que pidieron se otorgara el amparo con nulidad de las actuaciones y retroacción de las mismas al momento inmediatamente posterior al del dictado del Auto despachando ejecución, los recurrentes solicitaron por medio de otrosí digo la “suspensión de la subasta señalada para el día 15 de abril de 2016”, aportando diligencia de ordenación de la Secretaría del Juzgado, de 23 de septiembre de 2015 que así lo fija.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a su pretensión suspensiva, la demanda alega: “A juicio de esta parte, la no suspensión de la subasta podría hacer perder la finalidad al presente recurso puesto que culminaría el procedimiento judicial en el que mis representados han sido privados del derecho fundamental a la tutela judicial efectiva. Asimismo, entiende esta parte que la suspensión de la toma de posesión no ocasiona perturbación grave de un interés constitucionalmente protegido ni afecta a los derechos y libertades de otra persona. En cuanto a los posibles daños que el retraso en la celebración de la subasta, en el caso de que el procedimiento de ejecución hipotecaria terminara finalmente con la celebración de la misma, se verían compensados con los procedentes intereses en su caso correspondientes al tiempo transcurrido en la resolución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Secretaría de la Sección Cuarta, Sala Segunda, de este Tribunal Constitucional, dictó diligencia de ordenación de 20 de octubre de 2015 por la que se acordó requerir al representante procesal de los recurrentes para que acreditare fehacientemente la fecha de notificación de la resolución recurrida en amparo, lo que fue cumplimentado por escrito de dicho Procurador presentado el 3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nueva diligencia de ordenación de la Secretaría de Justicia de la Sección Cuarta de este Tribunal, de 4 de noviembre de 2015, se acordó dirigir atenta comunicación al Juzgado de Primera Instancia núm. 5 de Cartagena, a fin de que a la mayor brevedad posible se remitiera a la Sala Segunda de este Tribunal, certificación o fotocopia adverada de las actuaciones correspondientes al procedimiento de ejecución hipotecaria núm. 113-2012. El Letrado de la Administración de Justicia del Juzgado de referencia, remitió el testimonio solicitado mediante oficio de 12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 de marzo de 2016, la Sección Cuarta de este Tribunal dictó providencia por la que admitió a trámite el presente recurso de amparo, “apreciando que concurre en el mismo una especial trascendencia constitucional (art. 50.1 LOTC) como consecuencia de que el órgano judicial pudiera haber incurrido en una negativa manifiesta del deber de acatamiento de la doctrina de este Tribunal [STC 155/2009, FJ 2, f)]”. En consecuencia, y dado que ya se disponía de las actuaciones del procedimiento a quo, se acordó en la misma providencia dirigir atenta comunicación al Juzgado de Primera Instancia al único objeto de que, con arreglo a lo dispuesto en el art. 51 de la Ley Orgánica del Tribunal Constitucional (LOTC), procediera al emplazamiento de quienes hubieran sido parte en la causa, excepto a los recurrentes en amparo, para poder comparecer si lo desearan en este recurso,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la Sección Cuarta de este Tribunal dictó providencia acordando formar la pieza para la tramitación del incidente sobre la suspensión solicitada y conceder, conforme determina el art. 56 LOTC, un plazo común de tres días a los recurrentes y al Ministerio Fiscal para alegar lo que consideren procedente dentro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cumplimiento a este trámite, la representación procesal de la parte actora en amparo presentó escrito de alegaciones el 9 de marzo de 2016, reiterándose en su petición y en los argumentos vertidos en la demanda para fundarla. Cita en su apoyo el ATC 56/2013, de 25 de febrero, precisando que si bien en ese supuesto se trataba de la vivienda habitual del recurrente y aquí no lo es, ello no obsta a la aplicación del criterio favorable a la suspensión puesto que, si el bien referido se subasta, “pasará con toda probabilidad a ser propiedad de un tercero que, muy probablemente, podrá ser considerado tercero hipotecario de buena fe, deviniendo su situación inatacable desde el punto de vista del derecho de propiedad”. Más adelante insiste en que esa posibilidad de adquisición por tercero de buena fe, “vaciaría de sentido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este Tribunal Constitucional presentó su escrito de alegaciones el 10 de marzo de 2016, interesando acceder a la suspensión solicitada. Tras hacer cita de doctrina general de este Tribunal acerca de la posibilidad de acordar la suspensión de los efectos de resoluciones judiciales impugnadas en amparo, señala que la “aplicación al caso de la doctrina reseñada nos debe llevar a considerar que nos encontramos en uso de esos supuestos en que tratándose de un[a] resolución de carácter patrimonial, no obstante puede acabar afectando a derechos futuros de terceros adquirentes de buena fe, por lo que de acuerdo con la doctrina de este Tribunal, sería procedente la suspensión para evitar actuaciones cuya reversibilidad deviniera poco menos que imposible (Vid. ATC 74/2013)”.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declarado este Tribunal en su ATC 198/2014, de 21 de julio, FJ 1, citado a su vez por el más reciente ATC 95/2015, de 25 de mayo, FJ 1, que “como regla general, el apartado 1 del art. 56 de la Ley Orgánica del Tribunal Constitucional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su vez, respecto de la suspensión de resoluciones judiciales con contenido patrimonial, recordaba el indicado ATC 95/2015, FJ 2, que según criterio reiterado del Tribunal las mismas: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En efecto, en relación con resoluciones judiciales cuya ejecución conlleva el desalojo de una vivienda o local, hemos declarado en diversas ocasiones, AATC 225/2000, de 2 de octubre, FJ 2; 187/2001, de 2 de julio, FFJJ 2 y 3; 210/2001, de 16 de julio, FJ 3; o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como acontece en el presente caso, por lo cual resulta procedente el mantenimiento de la medida cautelar de suspensión del lanzamiento de la demandante de amparo de la vivienda que ocupa... [ATC 18/2012, de 30 de enero, FJ 3; en el mismo sentido, AATC 81/2012; de 7 de mayo, FJ 2; 103/2012, de 21 de mayo, FJ 1; 287/2013, de 16 de diciembre, FJ 1; 175/2014, de 23 de junio, FJ 1, y 59/2015,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que reconoce la irreversibilidad del daño que comportaría la posible transmisión a un tercero de buena fe del bien inmueble, no exige necesariamente —aunque esta sin duda constituya una circunstancia de refuerzo en apoyo a la suspensión— que se trate del domicilio de la parte ejecutada, siendo suficiente con que la resolución impugnada se haya dictado en un procedimiento de ejecución dirigido a la realización forzosa de la vivienda o local de su propiedad, en cuanto presupuesto para que se ocasione aquel daño y, con ello, se otorgue la suspensión [entre otros, AATC 64/2009, de 23 de febrero, antecedente 2 d) y FJ 3; 287/2013, de 16 de diciembre, antecedente 2 y FJ 2; 282/2014, de 17 de noviembre, antecedente 2 y FJ 4; y 48/2016, de 29 de febrero, antecedente 1 y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presente caso permite acceder a lo solicitado. Se trata de un proceso ejecutivo hipotecario en el que se pretende la venta en subasta de la vivienda de los recurrentes, estando previsto dicho acto para el día 15 de este mes de abril, con la posibilidad de que el bien pueda ser transmitido en el futuro a un tercero y opere el principio de fe pública registral (art. 34 de la Ley hipotecaria), lo que lo haría irreivindicable, haciendo perder a este amparo su finalidad. No apreciándose tampoco que la medida de suspensión ocasione, como ya se señaló, “perturbación grave a un interés constitucionalmente protegido, ni a los derechos fundamentales o libertades de otra persona", debe acordarse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dictado por el Juzgado de Primera Instancia núm. 5 de Cartagena el 20 de julio de 2015, en el procedimiento de ejecución hipotecaria núm. 113-2012; con suspensión igualmente del acto de subasta previsto para el próximo día 15 de abril de 2016 y las demás actuaciones relativas a dicha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