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167</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octubre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1517-2016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1517-2016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21 de marzo de 2016, la Sección Segunda de la Sala de lo Contencioso-Administrativo del Tribunal Superior de Justicia de Madrid remitió testimonio del Auto de 11 de febrero de 2016 por el que se acordó plantear cuestión de inconstitucionalidad en relación con el apartado d) del art. 100.3 de la Ley 2/2003, de 11 de marzo, de Administración local de la Comunidad de Madrid.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diligencia de ordenación de la Secretaria de Justicia del Pleno de 5 de mayo de 2016 se acordó librar atenta comunicación al órgano judicial a fin de que a la mayor brevedad posible se remitiese copia adverada de la totalidad de las actuaciones relativas al procedimiento ordinario núm. 179-2014, excepto del procedimiento administrativo. El testimonio íntegro de las actuaciones tuvo entrada en el Registro General del Tribunal el 13 de mayo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pueden ser relevantes en este proceso constitucional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fecha de 25 de junio de 2014 se plantea recurso contencioso-administrativo contra el acuerdo del Pleno del Ayuntamiento de Galapagar, por el que se aprueba definitivamente el Reglamento del mercado municipal de Galapagar (notificado el 10 de febrero de 2014 y publicado en el “BOCM” núm. 64, de 17 de marzo de 2014). La recurrente es titular de concesiones administrativas para la explotación de determinados puestos del mercado municipal de Galapagar.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consta en las actuaciones remitidas, la recurrente presentó solicitud de asistencia jurídica gratuita lo que comportó la suspensión del término para la interposición del recurso (diligencia de ordenación del Secretario Judicial de 3 de abril de 2014). Por diligencia de ordenación de 11 de junio de 2014 se dio un plazo de diez días para la interposición del recurso. Por Decreto de 1 de julio de 2014 se admitió a trámite 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solicita se dicte sentencia en la que se revoque y anule totalmente el contenido de la resolución recurrida y, subsidiariamente, los arts. 7, 8, 9 y 15, así como la disposición transitoria segunda de dicho Reglamento. Una de las cuestiones que suscita la misma es que el régimen del procedimiento de adjudicación de la nueva zona comercial y de ocio para los no antiguos sea en régimen de alquiler por diez años ya que cuando se trata de adjudicar el uso sobre un bien de dominio público afecto a un servicio público, ha de ser bajo concesión administrativa y no mediante contrato de arrendamiento.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Ayuntamiento de Galapagar se opuso a la demanda. Solicitó la inadmisión del recurso por la presentación del escrito inicial del recurso fuera del plazo establecido y, subsidiariamente, interesó la desestimación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providencia de 28 de julio de 2015, el órgano judicial, de conformidad con lo dispuesto en el art. 35.2 de la Ley Orgánica del Tribunal Constitucional (LOTC), otorgó trámite de audiencia a las partes y al Ministerio Fiscal sobre la pertinencia de plantear cuestión de inconstitucionalidad en relación con el apartado d) del art. 100.3 de la Ley 2/2003, de 11 de marzo, de Administración local de la Comunidad de Madrid.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interpuso recurso de reposición contra dicha providencia interesando se dictase otra en la que se concretasen los preceptos constitucionales infringidos, la relación con el fallo a dictar y la duda de constitucionalidad. La parte recurrente, mediante escrito de 11 de septiembre de 2015, manifestó su conformidad al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Auto de 15 de octubre de 2015, el órgano judicial estima en parte el recurso de reposición interpuesto por el Fiscal y otorga un nuevo plazo de diez días para que formule las alegaciones que estime convenientes en relación con si “el apartado d) del art. 100.3 de la Ley 2/2003, de 11 de marzo, de Administración Local de la Comunidad de Madrid pudiera ser contrario al artículo 149.1.18 de la Constitución Española”.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mediante escrito presentado el 4 de noviembre de 2015, no se opone al planteamiento de la cuestión de inconstitucionalidad. El representante del Ayuntamiento de Galapagar, mediante escrito presentado el 4 de noviembre de 2015, considera que no sería procedente el planteamiento de la cuestión de inconstitucionalidad porque el apartado d) del art. 100.3 de la Ley 2/2003 no resulta aplicable ni de su validez depende el fallo, puesto que la recurrente es titular de las concesiones administrativas para la explotación de los puestos 9 y 10 del mercado municipal de Galapagar, por lo que no resulta de aplicación el arrendamiento como forma de gestión indirecta de los servicios públicos.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Auto de 11 de febrero de 2016, el órgano judicial plantea cuestión de inconstitucionalidad “sobre el apartado d) del art. 100.3 de la Ley 2/2003, de 11 de marzo, de Administración Local de la Comunidad de Madrid, por poder incurrir este precepto autonómico en vicio de inconstitucionalidad por vulneración de la legislación básica del Estado, infringiendo el art. 149.1.18 de la CE, en relación con el art. 85.2 B de la Ley 7/1985, de 2 de abril, Reguladora de las Bases de Régimen Local y el art. 277 del Texto Refundido de la Ley de Contratos del Sector Público, aprobado por Real Decreto Legislativo 3/2011, de 14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Del contenido del Auto de planteamiento interesa destacar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referirse sucintamente en los antecedentes de hecho, el órgano judicial expone la duda de constitucionalidad que se le plantea. Entiende que el apartado d) del art. 100.3 de la Ley 2/2003 incurre en vicio de inconstitucionalidad por vulneración de la legislación básica del Estado infringiendo el art. 149.1.18 CE. La norma autonómica contempla el arrendamiento como forma de gestión indirecta de los servicios públicos, si bien esta modalidad de gestión indirecta no se contempla en el art. 85. 2 b) de la Ley reguladora de las bases de régimen local que establece que “los servicios públicos de competencia local habrán de gestionarse de la forma más sostenible y eficiente de entre las enumeradas a continuación”, contemplándose en el apartado b) la “gestión indirecta, mediante las distintas formas previstas para el contrato de gestión de servicios públicos en el texto refundido de la Ley de Contratos del Sector Público, aprobado por Real Decreto Legislativo 3/2011, de 14 de noviembre”. A su vez, en el artículo 277 de esta última disposición se establecen las modalidades de la contratación de la gestión de los servicios públicos que son las de concesión, gestión interesada, el concierto, y la sociedad de economía mixta, no encontrándose entre estas modalidades la del arrendamiento. Por ello, el órgano judicial entiende que el precepto cuestionado puede incurrir en vicio de inconstitucionalidad por vulneración de la legislación básica del Estado lo que, a su juicio, lleva a la necesidad de planteamiento de la cuestión de inconstitucionalidad conforme a la doctrina constitucional que establece que los órganos judiciales no pueden dejar de aplicar una norma autonómica al caso enjuiciado por considerar que dicha norma sea contraria a una ley básica estatal (STC 195/2015, de 21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el órgano judicial se refiere expresamente a los juicios de aplicabilidad y de relevancia, señalando al efecto que la decisión del proceso depende de la validez de la norma en cuestión. Tiene en cuenta el órgano judicial que la impugnación realizada en la demanda se refiere, entre otros preceptos, al art. 7 del Reglamento que prevé que “el régimen del procedimiento de adjudicación de la Nueva Zona Comercial y de Ocio para los no antiguos, sea en régimen de alquiler por 10 años, cuando lo que se trata es de adjudicar el uso sobre un bien de dominio público afecto a un servicio público, debiendo ser bajo concesión administrativa, no mediante contrato de arrendamiento”. A la vista de dicho motivo de impugnación, y teniendo en cuenta que el art. 7 del Reglamento tiene su cobertura en el art. 100.3 d) de la Ley 2/2003, conforme a lo establecido en el artículo 1 de la misma, la decisión sobre dicho motivo de impugnación depende de la validez del precepto autonómico cuestionado. Asimismo, contesta a las alegaciones realizadas por el Ayuntamiento de Galapagar respecto a que el art. 100.3 d) de la Ley 2/2003 no resulta aplicable al caso ni de su validez depende el mismo, entendiendo que, con independencia de la situación jurídica individualizada de la recurrente, lo cierto es que no cabe negarle la legitimación para impugnar el art. 7 del Reglamento en cuanto éste contempla el arrendamiento como forma de gestión.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5 de julio de 2016 la Sección Segunda acordó, a los efectos que determina el art. 37.1 LOTC, oír al Fiscal General del Estado para que, en el plazo de diez días, alegue lo que considere conveniente acerca de la admisibilidad de la presente cuestión de inconstitucionalidad en relación con el cumplimiento de los requisitos procesales (art. 35.2 LOTC) en especial a la vista de la STC 102/2016, de 25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presentó sus alegaciones el día 8 de septiembre de 2016 interesando la inadmisión de la cuestión por los motivos que se resumen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exponer los antecedentes del caso, analiza el cumplimiento del trámite de audiencia, así como de los juicios de aplicabilidad y relevancia que el órgano judicial fundamenta en el Auto de planteamiento. Sin embargo, considera la Fiscal General del Estado que la presente cuestión de inconstitucionalidad ha de resolverse conforme a la doctrina contenida en la STC 102/2016, de 25 de mayo, que se aparta de la doctrina tradicional del Tribunal Constitucional en cuanto a la solución constitucional que debe darse a determinados supuestos de inconstitucionalidad sobrevenida de preceptos legales autonómicos como consecuencia de la posterior modificación de la legislación básica del Estado y que en el momento de su promulgación eran coincidentes. Dicha Sentencia resolvió la cuestión de inconstitucionalidad núm. 1619-2015, promovida por la Sala de lo Contencioso-Administrativo del Tribunal Superior de Justicia de Galicia en relación con el art. 32.1 de la Ley 5/1997, de 22 de julio, de Administración local de Galicia, por su posible inconstitucionalidad sobrevenida con el art. 47.2 a) de la Ley reguladora de las bases del régimen local, en la redacción dada por la Ley 57/2003, de 16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el Ministerio Fiscal que en el presente caso nos hallamos con que la controversia constitucional que se somete a la consideración de este Alto Tribunal es idéntica a la sometida al Alto Tribunal en la STC 102/2016, aunque, en este caso, la norma autonómica no se ha dejado de aplicar como sucedió en el supuesto analizado por la Sentencia constitucional citada. Al respecto, entiende que los elementos de análisis que tuvo en cuenta el Tribunal Constitucional en la referida Sentencia se reproducen en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considera que nos hallamos ante un supuesto en que el precepto autonómico cuestionado, el apartado d) del art. 100.3 de la Ley de la Comunidad de Madrid 2/2003, de 11 de marzo, era coincidente en el momento de su promulgación con la norma básica estatal sobre la materia, en concreto el art. 85 de la Ley reguladora de las bases de régimen local, que recogía como una modalidad de gestión de los servicios públicos locales la de arrendamiento. La contradicción del precepto autonómico surge con posterioridad a su promulgación como consecuencia de las reformas operadas de la Ley reguladora de las bases de régimen local y el reenvío que hace a la Ley de contratos del sector público. En el art. 277 del Real Decreto Legislativo 3/2011, de 14 de noviembre, por el que se aprueba el texto refundido de la Ley de contratos del sector público, que regula las modalidades de contratación de gestión de servicios públicos no figura el arrendamiento, que sí era contemplado en la redacción originaria del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afirma el Ministerio Fiscal, el legislador autonómico, al desarrollar la legislación básica sobre las modalidades de contratación de la gestión indirecta de los servicios públicos reprodujo la legislación básica vigente en el momento de promulgación de la norma autonómica cuestionada y, tras las modificaciones producidas por la legislación básica sobre la materia, no ha procedido a adecuar la norma autonómica cuestionada al nuevo contenido de aquella legislación, produciéndose, en consecuencia, una divergencia entre la norma autonómica y la estatal básica con posterioridad a la primera.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atendiendo a los presupuestos para la aplicación de la doctrina de la prevalencia sentados por el Tribunal Constitucional, en opinión del Ministerio Fiscal, concurre que en el presente caso tanto el Estado, al amparo del art. 149.1.18 CE, como la Comunidad Autónoma, conforme al art. 27.2 de su Estatuto de Autonomía, ostentan competencias en materia de contratación administrativa.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tercer lugar, concurre también el presupuesto de que la norma de contraste estatal tenga carácter básico de acuerdo con la STC 161/2013, FJ 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el Ministerio Fiscal afirmando que, visto que los presupuestos de análisis de la presente cuestión de inconstitucionalidad son coincidentes con los que se tuvieron en cuenta en la STC 102/2016, la consecuencia es que el art. 100.3 d) de la Ley de la Comunidad de Madrid 2/2003, de 11 de marzo, de Administración local de la Comunidad de Madrid no es aplicable al caso controvertido en el proceso subyacente del que trae causa la presente cuestión, por lo que procede inadmitir la misma.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Segunda de la Sala de lo Contencioso-Administrativo del Tribunal Superior de Justicia de Madrid promueve cuestión de inconstitucionalidad en relación con el apartado d) del art. 100.3 de la Ley 2/2003, de 11 de marzo, de Administración local de la Comunidad de Madrid.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precepto cuestionado establece lo siguiente: “1. Los servicios públicos locales pueden gestionarse de forma directa o indirecta. En ningún caso podrán prestarse por gestión indirecta los servicios públicos que impliquen ejercicio de autoridad. … 3. La gestión indirecta adoptará alguna de las siguientes formas: a) Concesión. b) Gestión interesada. c) Concierto. d) Arrendamiento. e) Sociedad mercantil y cooperativas legalmente constituidas cuyo capital social sólo parcialmente pertenezca a la entidad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considera que el apartado d) del art. 100.3 de la Ley de la Comunidad de Madrid 2/2003 vulnera la legislación básica del Estado, infringiendo el art. 149.1.18 CE. La norma autonómica contempla el arrendamiento como forma de gestión indirecta de los servicios públicos locales, modalidad que no se contempla en el art. 277 de la Ley de contratos del sector público, aprobado por Real Decreto Legislativo 3/2011, de 14 de noviembre, al que se remite el art. 85. 2 b) de la Ley reguladora de las bases de régimen local para la definición de dichas modalidades de gestión. Por ello, el órgano judicial entiende que el precepto cuestionado puede vulnerar la legislación básica del Estado por lo que, conforme a la doctrina constitucional de la STC 195/2015, de 21 de septiembre, eleva la presente cuestión de inconstitucionalidad para que este Tribunal se pronuncie sobre el apartado d) del art. 100.3 de la Ley 2/2003, de 11 de marzo, de Administración local de la Comunidad de Madrid.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General del Estado, por las razones expuestas en los antecedentes, ha interesado la inadmisión de la cuestión por incumplimiento de los requisitos procesales, en concreto, del juicio de aplicabilidad, conforme a la STC 102/2016, de 25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lo dispuesto en el art. 37.1 de la Ley Orgánica del Tribunal Constitucional (LOTC), el Tribunal puede rechazar en trámite de admisión y mediante Auto y sin otra audiencia que la del Fiscal General del Estado, aquellas cuestiones de inconstitucionalidad que no cumplan los requisitos procesales o que fueran notoriamente infundadas. Como ha sostenido el Tribunal en reiteradas ocasiones, “dichos requisitos procesales, enumerados en el art. 35.2 LOTC en desarrollo de lo dispuesto en el art. 163 CE, tienden a evitar que la cuestión de inconstitucionalidad se convierta en un medio de impugnación directa y abstracta de la validez de la Ley, garantizando, al propio tiempo, que su uso sirva a la finalidad de conciliar la doble obligación que recae sobre los órganos judiciales de actuar sometidos a la ley y a la Constitución" (STC 17/1981, de 1 de junio, FJ 1; AATC, 393/2004, 19 de octubre de 2004, FJ 1; 76/2007, de 27 de febrero, FJ 2; 189/2009, de 23 de junio, FJ 2, y 142/2016, de 19 de junio, FJ 1, entre otras muchas resoluciones).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ha puesto de relieve la Fiscal General del Estado, conforme a nuestra doctrina sentada en la citada Sentencia 102/2016, de 25 de mayo, y reiterada en SSTC 116/2016, de 20 de junio, y 127/2016, de 7 de julio, en este caso no se puede considerar cumplido el juicio de aplicabilidad.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Auto de planteamiento de la cuestión de inconstitucionalidad, el órgano judicial parte de que al poder incurrir el precepto cuestionado en vicio de inconstitucionalidad por vulneración de la legislación básica del Estado ha de plantear cuestión de inconstitucionalidad conforme a la doctrina constitucional (STC 195/2015) que establece que los órganos judiciales no pueden dejar de aplicar una norma autonómica al caso enjuiciado por considerar que dicha norma sea contraria a una ley básica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resulta necesario ahora tener en cuenta la doctrina del Tribunal Constitucional sobre el principio de prevalencia contenida en la reciente STC 102/2016, de 25 mayo, y reiterada en SSTC 116/2016, de 20 de junio, y 127/2016, de 7 de julio, que resolvían cuestiones de inconstitucionalidad sobre el mismo precepto y planteadas por el mismo órgano judicial y en las que concurrían una serie de circunstancias que determinaron que el Tribunal concluyera que “la prevalencia del derecho estatal debe jugar en tanto no haya sido puesta en duda la constitucionalidad de la legislación básica modificada” (SSTC 102/2016, FJ 6, y 127/2016,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Dichas circunstancias se concretan en que se trata de un caso de “inconstitucionalidad indirecta o mediata” (SSTC 102/2016, FJ 1, y 116/2016, FJ 2); “sobrevenida” (SSTC 102/2016, FJ 2, y 116/2016, FJ 2): “la legislación autonómica no ha hecho sino reproducir la legislación básica, y ésta se modifica después en un sentido incompatible con aquella legislación autonómica” (STC 102/2016, FFJJ 2 y 3) y, además, “el Tribunal ya se ha pronunciado en favor del carácter básico de la regulación [estatal]” (STC 102/2016,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concurren las mismas o muy similares circunstancias que las que concurrían en la cuestión de inconstitucionalidad sobre la que se pronuncia la referida Sentencia 102/2016: inicialmente el precepto cuestionado y la Ley reguladora de las bases de régimen local establecían la misma regulación. Concretamente, el citado art. 100.3 de la Ley 2/2003, de 11 de marzo, de Administración local de la Comunidad de Madrid, establece, en una redacción que no ha sido modificada desde su aprobación, que la gestión indirecta de los servicios públicos locales “adoptará alguna de las siguientes formas: a) Concesión. b) Gestión interesada. c) Concierto. d) Arrendamiento. e) Sociedad mercantil y cooperativas legalmente constituidas cuyo capital social sólo parcialmente pertenezca a la entidad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precepto venía a reproducir lo establecido en el art. 85.2 de la Ley reguladora de las bases de régimen local, que, en el momento de aprobación de la norma autonómica, disponía que “la gestión indirecta adoptará alguna de las siguientes formas: a) Concesión. b) Gestión interesada. c) Concierto. d) Arrendamiento. e) Sociedad mercantil y cooperativas legalmente constituidas cuyo capital social sólo parcialmente pertenezca a la entidad local”. La norma básica estatal, tras sucesivas modificaciones, dispone que “los servicios públicos de competencia local habrán de gestionarse de la forma más sostenible y eficiente de entre las enumeradas a continuación: B) Gestión indirecta, mediante las distintas formas previstas para el contrato de gestión de servicios públicos en el texto refundido de la Ley de Contratos del Sector Público, aprobado por Real Decreto Legislativo 3/2011, de 14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artículo 277 de dicha norma se establece, a su vez, que “la contratación de la gestión de los servicios públicos podrá adoptar las siguientes modalidades: a) Concesión, por la que el empresario gestionará el servicio a su propio riesgo y ventura. b) Gestión interesada, en cuya virtud la Administración y el empresario participarán en los resultados de la explotación del servicio en la proporción que se establezca en el contrato. c) Concierto con persona natural o jurídica que venga realizando prestaciones análogas a las que constituyen el servicio público de que se trate .d) Sociedad de economía mixta en la que la Administración participe, por sí o por medio de una entidad pública, en concurrencia con personas naturales o jurídicas”. Por lo tanto, existe una aparente contradicción entre la legislación autonómica y la legislación estatal en la medida en que esta última no contempla, en la actualidad, el arrendamiento como forma de gestión indirecta de los servicios públicos.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el Tribunal Constitucional ha declarado básico el citado art. 85.2 de la Ley reguladora de las bases de régimen local, antes de su modificación por la Ley 27/2013, de 27 de diciembre, de racionalización y sostenibilidad de la Administración local, si bien con un contenido coincidente con la regulación vigente en cuanto a la remisión a la Ley de contratos de las formas de gestión de los servicios públicos. Así, en STC 161/2013, de 26 de septiembre, FJ 11, se afirma que “la gestión indirecta consiste en encomendar a un tercero la función de prestación de determinados servicios de competencia de la Administración y tiene por objeto una prestación típica de los contratos regulados por la legislación de contratos públicos según el art. 149.1.18 CE. Por esta razón, la definición de los contratos mediante los que se podrá instrumentar la gestión indirecta es esencial para determinar la intensidad con que se aplicarán los preceptos de la legislación contractual, tanto en cuanto a la preparación y adjudicación del contrato como en cuanto al régimen jurídico aplicable. Por tanto, forma parte de la legislación básica del Estado en materia de contratos. No puede admitirse la conclusión a la que nos llevaría el argumento de la parte recurrente de que las bases deben ser más reducidas en lo que respecta a la contratación local por la necesidad de dejar espacio a las Comunidades Autónomas para regular los aspectos organizativos locales. En consecuencia, la disposición final primera de la Ley de medidas para la modernización del gobierno local, en cuanto declara que el artículo 85.2 b) LBRL constituye legislación básica del Estado, no es contraria a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Atendiendo a lo anteriormente expuesto, al concurrir en este caso las mismas circunstancias que las que confluían en la cuestión de inconstitucionalidad resuelta por la STC 102/2016 procede, en virtud del mismo razonamiento, acordar también en este caso la inadmisión de la cuestión de inconstitucionalidad por considerar que el apartado d) del art. 100.3 de la Ley 2/2003, de 11 de marzo, de Administración local de la Comunidad de Madrid, debido a la aplicación del principio de prevalencia ex art. 149.3 CE, no es aplicable al pleito a quo, con lo que no se cumpliría con la naturaleza concreta de la cuestión de inconstitucionalidad exigida por el art. 163 CE y el art. 35.2 de la Ley Orgánica del Tribunal Constitucional (STC 127/2016, FJ 8).</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octubre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