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resolución recurrida y de toda actuación judicial sucesiva que pudiera tener como efecto directo o derivado la adjudicación a terceros de la finca controvertida.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febrero de 2018 tuvo entrada en el registro general de este Tribunal escrito firmado por el Procurador de los Tribunales don Manuel Ortiz de Urbina Ruiz, en nombre y representación de Maricris de Chipi, S.L., en virtud del cual interponía recurso de amparo contra la providencia de 8 de enero de 2018 del Juzgado de Primera Instancia núm. 1 de Cieza en autos de ejecución hipotecaria núm. 128-2013, que inadmitió a trámite la solicitud de revisión de un decreto de la Letrado de la Administración de Justicia, de 30 de octubre de 2017, por no caber recurso contra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 la recurrente en amparo había interpuesto previamente recurso de reposición contra la diligencia de ordenación de 6 de julio de 2017, que acordaba acceder a la solicitud de subasta interesada por la parte ejecutante sobre una finca de su propiedad (finca destinada a uso industrial) y contra el decreto de subasta, de 10 de julio de 2017, denunciando la infracción del artículo 682.2.1 de la Ley de enjuiciamiento civil (LEC). El decreto de 30 de octubre de 2017 desestimó ese recurso y consideró que debía dispensarse el requisito del artículo 682.2.1 LEC “por no ser un presupuesto exigido por la normativa vigente en el momento de la constitución de dicho derecho real de garantía, puesto que la misma tan solo exigía que en la escritura de constitución de la hipoteca se determinara el precio en que los interesados tasaban la finca o bien hipotecado, para que sirviera de tipo de subasta, y dicho requisito está plenamente cumplido en la misma al haber acordado las partes de común acuerdo el precio de la tasación, no pudiendo pretender ahora ir contra sus propios actos”.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sociedad demandante denuncia en su recurso de amparo la vulneración del derecho a la tutela judicial efectiva sin indefensión (art. 24.1 CE), ya que, según afirma, el artículo 454 bis.1 LEC veda al órgano judicial la revisión de cuestiones relevantes del proceso, que vienen a ser decididas por el letrado de la Administración de Justicia y deberían ser en cambio revisadas por jueces y magistrados, a quienes compete dispensar la tutela judicial, creándose por ello una zona de inmunidad al control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 la subasta, ya que, de celebrarse la misma, el amparo perdería su finalidad al culminarse un proceso de ejecución hipotecaría bajo un tipo de subasta cuya legalidad está en tela de juicio, con riesgo de que se dicte un decreto de aprobación del remate en favor del mejor postor, siendo esa resolución irrecurrible y resultando de ella la eventual adjudicación del bien a un tercero de buena fe, lo que la haría irreivindicable y generadora de un perjuicio irreparable para la sociedad ahora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17 de septiembre de 2018, la Sección Cuarta de este Tribunal acordó admitir a trámite el recurso de amparo. Por providencia de la misma fecha, la Sección formó la oportuna pieza para la tramitación del incidente de suspensión y, conforme a lo dispuesto en el artículo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24 de septiembre de 2018, el Procurador don Manuel Ortiz de Urbina Ruiz, en nombre y representación de Maricris de Chipi, S.L., formuló sus alegaciones, afirmando que la subasta se celebró, siendo la mejor postura ofrecida la de la entidad ejecutante, Caja Rural de Albacete, Ciudad Real y Cuenca, pero encontrándose pendiente el dictado del decreto de adjudicación y la toma de posesión del bien.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la suspensión de las actuaciones judiciales de ejecución ya que, si se dictase el decreto de adjudicación y se diera la toma de posesión del bien, culminará el proceso de ejecución hipotecaria con un perjuicio irreparable para la ahora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28 de septiembre de 2018, interesa la suspensión solicitada, toda vez que, pese a tratarse de una resolución de carácter patrimonial, puede acabar afectando a derechos de terceros de buena fe que decidirán participar en la subasta y luego vieran su derecho cuestionado, o que convirtieran el bien adquirido de buena fe en inatacable e irrecuperable en el caso de que se otorgara 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3 de octubre de 2018, la Secretaria de Justicia de la Sala Segunda del Tribunal Constitucional mantuvo una comunicación verbal con el Juzgado de Primera Instancia e Instrucción núm. 1 de Cieza, que informó que, en dicha fecha, no se había dictado Auto de adjudicación de la finca subastada en la ejecución hipotecaria núm. 128-2013.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128-2013 seguido en el Juzgado de Primera Instancia núm. 1 de Cieza.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de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artículo 117.3 CE (por todos, ATC 133/2016, de 22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regla general es la improcedencia de la suspensión de las resoluciones judiciales, por la perturbación de la función jurisdiccional que la misma supone, salvo en los casos en los que se acredite tanto el carácter irreparable del perjuicio para los derechos fundamentales, como la pérdida de la finalidad del amparo en caso de mantenerse la ejecución de la resolución (entre otros, ATC 178/2015, de 2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como recordáramos en el ATC 290/2014, de 1 de diciembre, FJ 1, por perjuicio irreparable se ha de entender aquel que provoque que el restablecimiento del recurrente en el derecho constitucional vulnerado sea tardío y convierta el amparo en meramente ilusorio y nominal.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(recoge esa doctrina y las correspondiente referencias jurisprudenciales el reciente ATC 21/2018, de 5 de marzo, FJ 2). En el ámbito patrimonial, en suma, sólo hemos accedido a la suspensión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11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Interesa subrayar que una consolidada doctrina constitucional, de la que es buena muestra el reciente ATC 58/2018, de 4 de junio, FJ 2, y los que en él se citan,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análisis de la doctrina antes recogida y la circunstancia que viene de subrayarse permiten considerar la procedencia de adoptar la medida cautelar de suspensión ya que, en otro caso, se podría materializar la adjudicación y entrega de la posesión del bien en perjuicio de la entidad aquí recurrente,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no se percibe en este momento procesal que la suspensión de la ejecución pueda entrañar una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resolución recurrida y de toda actuación judicial sucesiva que pudiera tener como efecto directo o derivado la adjudicación a terceros de la finca controvertida.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