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28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2208-2019, interpuesto por ciento dos diputados del grupo parlamentario Popular del Congreso de los Diputados contra el Real Decreto-ley 7/2019, de 1 de marzo, de medidas urgentes en materia de vivienda y alquiler. Ha comparecido el Gobierno de la Nación.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abril de 2019 se presentó en el registro general de este Tribunal escrito en el que don Rafael Hernando Fraile y don Arturo García-Tizón López, actuando como comisionados de ciento dos diputados pertenecientes al grupo parlamentario Popular del Congreso de los Diputados, interpusieron recurso de inconstitucionalidad contra el Real Decreto-ley citado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dirige en primer término contra todo el real decreto-ley por no respetar el presupuesto habilitante del art. 86.1 CE (“extraordinaria y urgente necesidad”); y luego contra preceptos concretos que según los recurrentes no cumplen tampoco, o bien la “conexión de sentido” con ese presupuesto habilitante que la jurisprudencia del Tribunal Constitucional exige, o bien el requisito de “no…afectar… a los derechos, deberes y libertades de los ciudadanos regulados en el título I” (art. 86.1 CE), en concreto el deber de contribuir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haciendo un amplio resumen de la exposición de motivos del real decreto-ley recurrido y la justificación de la situación de “extraordinaria y urgente necesidad” que allí se contiene, centrada en cinco “motivos”: (i) la dificultad de acceso a la vivienda en régimen de alquiler; (ii) el desigual y heterogéneo comportamiento del mercado de alquiler de viviendas como consecuencia de los alquileres turísticos; (iii) la escasez de vivienda social; (iv) el aumento del número de desahucios vinculados a contratos de alquiler; y finalmente (v) la existencia de deficiencias en las viviendas en materia de discapacidad y movilidad reducida. Critica, en esta exposición inicial, la mención que hace esa misma exposición de motivos a que el decreto ley “no afecta” a los derechos, deberes y libertades del título I CE, cuando en realidad contiene medidas fiscales, y señala que el mismo incluye justificaciones reiteradas en otros decretos-leyes del mismo Gobierno “de carácter general y contenido impreciso”. Se refiere en concreto a un pasaje de la exposición de motivos que se reproduce en otros reales decretos-leyes, “como por ejemplo el Real Decreto-ley 20/2018, de 7 de diciembre”. Reproduce a continuación la justificación ofrecida por el ministro de Fomento en el debate de convalidación celebrado en la comisión permanente el 5 de abril de 2019, y pasa acto seguido a exponer los motivos de inconstitucionalidad del real decreto-ley recurrido, comenzando por la ausencia de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Ausencia de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 resumen de la doctrina constitucional sobre el requisito de la “extraordinaria y urgente necesidad” (art. 86.1 CE), concluye que “la urgencia real no se puede identificar con la urgencia política electoralista, creada ad hoc por quien la invoca para justificar el uso del real decreto-ley, sino que debe ser una urgencia y una extraordinaria necesidad reales, que existan sobre la base de datos y circunstancias acreditadas, y a las que deba atender la acción del gobierno de manera excepcional por no existir un cauce de procedimiento legislativo de urgencia que permita abordar de manera eficaz esas situaciones que se han presentado y eran difíciles de prever”. Desde la STC 29/1982 la jurisprudencia constitucional ha entendido que el concepto de “extraordinaria y urgente necesidad” no es un “concepto jurídico indeterminado” sino una cláusula sujeta a la apreciación “discrecional” del Gobierno, pero siempre sometida al ordenamiento jurídico y al control por el Tribunal Constitucional. Critica, por ello, “la cita de porcentajes descontextualizados” y la “realización categórica de afirmaciones sin verdadera base estadística” pues “los motivos” —insiste— “han de ser reales”. Y recuerda que la doctrina constitucional ha rechazado el empleo de “fórmulas rituales” que hacen “prácticamente imposible” el control de este presupuesto por el Tribunal Constitucional (cita en este sentido la STC 142/2014).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una serie de datos oficiales tomados de Eurostat, del Ministerio de Fomento y del Consejo General del Poder Judicial, que contradicen la justificación ofrecida por el Gobierno, y al mismo tiempo niega que puedan tenerse en cuenta datos del Instituto Nacional de Estadística que el ministro de Fomento reconoció haber conocido “ayer” en el debate de convalidación, celebrado un mes después de la aprobación del real decreto-ley. En este sentido, matiza que en España el 76,7 por 100 de viviendas se posee en régimen de propiedad y solo el 23,3 por 100 en régimen de alquiler, lo que arroja un total de “cerca de 6 millones de viviendas en alquiler”; y que en el periodo 2006 a 2017 el mercado de alquiler cayó por efecto de la crisis económica un 17,3 por 100. Cuestiona por ello que la cita concreta de la situación del alquiler en solo seis provincias en la exposición de motivos (Madrid, Barcelona, las Palmas, Baleares, Málaga y Santa Cruz de Tenerife) pueda servir de base para el real decreto-ley recurrido. Niega también eficacia al dato del 42 por 100 de hogares que destinan más del 40 por 100 de ingresos al pago del alquiler, presentada en la exposición de motivos, primero porque ese 42 por 100 lo es del 23,3 por 100 que posee vivienda en alquiler (es decir, solo un 9,7 por 100 del total de los hogares españoles), y luego porque desde 2014 hasta 2017, según Eurostat, esa “tasa de esfuerzo” se ha reducido en un 5,4 por 100, y la media en los últimos diez años es superior, del 43,4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tampoco explica de dónde toma el dato del crecimiento de los desahucios vinculados a contratos de alquiler “a un ritmo anual del 5 por 100”. Los “datos reales”, sin embargo, apuntan a un número de lanzamiento de arrendatarios “ínfimo”, del 0,6 por 100 de todos los lanzamientos (36.340), según datos del Consejo General del Poder Judicial, es decir, 218 casos. Además, el porcentaje de población afectada por riesgo de perder la vivienda es del 2,8 por 100 de la población, muy inferior a la media europea de 5,2 por 100, según Eurostat. El recurso no quiere “minimizar” la importancia de esos desahucios para los afectados, pero argumenta que no puede erigirse en fundamento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Conexión de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niegan que muchas de las medidas contenidas en el real decreto-ley tengan además la necesaria conexión de sentido con el presupuesto habilitante mencionado, tal y como exige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título II (art. 2) modifica la Ley de propiedad horizontal con objeto de impulsar la realización de obras de mejora de la accesibilidad, pero ello no guarda relación alguna con la situación de extraordinaria y urgente necesidad descrita en la exposición de motivos. De hecho, puede empujar los precios del alquiler al alza por la realización de mejoras en los pisos.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título III (art. 3) que modifica la regulación del procedimiento de desahucio en la Ley de enjuiciamiento civil no guarda tampoco conexión de sentido con la situación que se pretende atajar. En concreto, la reforma persigue la coordinación de los juzgados con los servicios sociales aludiendo al cumplimiento de compromisos internacionales y al dictamen del Comité de Derechos Económicos, Sociales y Culturales del Consejo Económico y Social de Naciones Unidas de 20 de junio de 2017, sin tener en cuenta que esa coordinación ya se garantizó con las reformas de la Ley 5/2018, de 11 de junio, de modificación de la Ley de enjuiciamiento civil, contra la que se interpuso recurso de inconstitucionalidad desestimado en la STC 32/2019, de 28 de febrero. Y tampoco puede considerarse que exista un vacío legal, puesto que otras muchas leyes —que cita— abordan estas situaciones de emergencia o riesgo habitacional.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disposición adicional primera otorga un plazo de dos meses al Ministerio de Fomento para presentar un informe de medidas destinadas a dinamizar la oferta de vivienda en alquiler para presentarlo a su vez a la Comisión Delegada del Gobierno, lo que contradice la necesidad de eficacia inmediata o instantánea de las medidas aprobadas por decreto-ley exigida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Idéntica desconexión aprecia en la disposición adicional segunda, que crea el “sistema estatal de índices de referencia del precio del alquiler de vivienda” encomendando a la administración su aprobación en un plazo de “ocho meses”. Recuerda que medidas equivalentes tendentes al “control de precios” no solo no contribuyen a mejorar el mercado de alquiler sino que además han sido anuladas por los tribunales (cita los casos de Francia y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Tampoco la regulación de la duración de los convenios de ejecución de infraestructuras de transporte terrestre, aéreo y marítimo de la disposición adicional tercera guarda la necesaria conexión de sentido con la situación de “extraordinaria y urgente necesidad” que se quiere remediar. Se desconoce cómo esos convenios pueden contribuir a bajar el precio del alquiler; ni la conexión de esos convenios con el mercado del alquiler es “intuitiva”, ni el Gobierno proporciona ninguna explicación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Falta de justificación de que la tramitación parlamentaria resulta insuficiente para la consecución de los objetivos perseguidos.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apartado se dedica a cuestionar que el Gobierno no haya justificado los perjuicios y obstáculos que se seguirían de la tramitación de la modificación normativa por el los trámites parlamentarios, como exige la jurisprudencia constitucional (cita las SSTC 137/2011, FJ 11, y 61/2018, FJ 9). La propia exposición de motivos reconoce la existencia de proposiciones de ley en trámite en el momento de aprobarse el real decreto-ley, y sin embargo el Gobierno no justifica cómo ni por qué el citado real decreto-ley “debe sustituir” a esas iniciativas. Critica también que el ministro de Fomento se refiriera en el debate de convalidación a la futura presentación en la “próxima legislatura” de una ley estatal de vivienda que debe “culminar” el trabajo emprendido.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Afectación al deber de contribuir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recurso se dirige contra el art. 4, apartados primero y tercero, y el art. 5, por introducir modificaciones en los impuestos sobre bienes inmuebles (IBI) y sobre transmisiones patrimoniales y actos jurídicos documentados (ITP). Con cita de varias sentencias y entre ellas de las SSTC 182/1997 y 73/2017, considera que se trata de dos impuestos que tienen una “posición central” o son un “pilar estructural” del sistema tributario y que la concreta regulación efectuada —exenciones y bonificaciones fiscales— debe quedar reservada a ley formal, puesto que “altera sensiblemente la posición del obligado a contribuir”.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mayo de 2019, el Pleno del Tribunal acordó admitir a trámite el recurso de inconstitucionalidad interpuesto y dar traslado de las actuaciones, conforme establece el art. 34 de la Ley Orgánica del Tribunal Constitucional, al Congreso de los Diputados, al Senado y el Gobierno de la Nación al objeto de que en el plazo de quince días pudieran personarse en el proceso y formular las alegaciones que estimaran pertinentes, así como también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representación del Gobierno de la Nación, presentó sus alegaciones el 13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del Gobierno comienza haciendo un recordatorio de la doctrina de este Tribunal sobre el alcance de nuestro control sobre la concurrencia del presupuesto habilitante, subrayando que se trata de un “juicio político” que corresponde al Gobierno y que este Tribunal solamente puede controlar que “no desborde los límites de lo manifiestamente razonable” o incurra en “abuso o arbitrariedad”. En particular, recuerda que se trata de un “control externo” (STC 61/2018, FJ 4) y que “no es posible… un control por este Tribunal de esa valoración que permita una revisión de fondo del juicio político, más allá de la constatación de que no se trata de una decisión abusiva o arbitraria” (SSTC 182/1997, FJ 3; 11/2002, FJ 4; 137/2003, FJ 3; 189/2005, FJ 3, y 150/2017,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a continuación la manera en que se ha justificado en este caso la intervención del legislador de urgencia, citando la exposición de motivos del real decreto-ley recurrido, la memoria del análisis de impacto normativo, cuya copia adjunta, y la intervención del ministro de Fomento en el debate de convalidación. Recuerda los cinco motivos expresados en la exposición de motivos y, con indicación de las fuentes oficiales de donde se toman los datos allí incorporados (Observatorio de Vivienda y Suelo del Ministerio de Fomento, Eurostat, Consejo General del Poder Judicial e Instituto Nacional de Estadística), le parece que el Gobierno ha satisfecho esta carga.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recurso no trata tanto de cuestionar la realidad de la situación descrita por el Gobierno como de sustituir el juicio político de este por el de los diputados recurrentes. Y critica los datos aportados en el recurso, por descontextualizados o interesados, así como algunas operaciones aritméticas incorrectas contenidas en el mismo (por ejemplo, que se asimile indebidamente el número de hogares en España, 26 millones, con el número total de viviendas, 19 millones según las estimaciones del Ministerio de Fomento, de donde resulta que el porcentaje del 23,3 por 100 de viviendas en alquiler debería aplicarse sobre este número más reducido arrojando una cifra de 4,4 millones, lejos de los 6 millones citados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conexión de sentido, el abogado del Estado comienza subrayando que de manera implícita el recurso reconoce que la modificación de la Ley de arrendamientos urbanos y las medidas económicas y fiscales, que no impugna por este motivo, cumplen este requisito. Y en relación con las sí impugnadas, argumenta que la eliminación de barreras arquitectónicas (art. 2) es “muy valiosa” según los propios recurrentes y conecta con el quinto motivo de extraordinaria y urgente necesidad citado en la exposición de motivos del real decreto-ley; que las medidas de coordinación entre los juzgados y tribunales y los servicios sociales (art. 3) aporta seguridad jurídica y mejora las medidas adoptadas hasta la fecha, que “se han demostrado insuficientes”; que las medidas encomendadas al Ministerio de Fomento (disposición adicional primera) contienen un mandato específico y concreto, en contra de lo defendido en el recurso, y que completan por el lado de la oferta el resto de medidas recogidas en el texto legal; que el sistema de índices de referencia del precio del alquiler de viviendas (disposición adicional segunda) pretende dotar de mayor transparencia al alquiler y que el plazo de ocho meses para su elaboración no debe ocultar que tiene eficacia inmediata desde el mismo momento de entrada en vigor de la norma; y que la relación de los convenios en materia de infraestructuras (disposición adicional tercera) con las políticas de vivienda deriva de la concentración demográfica propia de nuestro país y se pone de manifiesto de manera reiterada en documentos estratégicos como la Agenda 2030 de Desarrollo Sostenible de las Naciones Unidas o la Agencia Urbana Española, uno de cuyos objetivos principales es dotar a las ciudades de una oferta de vivienda a precios asequibles, atendiendo de manera específica al mercado del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respecta a la insuficiencia de la justificación ante la existencia de iniciativas legislativas en tramitación parlamentaria, le parece que la potestad del Gobierno de incorporar medidas urgentes para hacer frente a la gravedad de la situación debe reconocerse “con independencia de la tramitación en sede parlamentaria de disposiciones que pudiesen completar o desarrollar las medidas adoptadas. E igualmente, el impulso por el Gobierno de futuras reformas más completas no debe impedir que se adelanten a través de decreto-ley las medidas de urgente implantación”.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tres disposiciones adicionales también producen modificaciones instantáneas en el ordenamiento jurídico, en contra de lo sostenido en el recurso. La previsión de plazos para la realización de informes (disposición adicional primera) o para el desarrollo del sistema de índices de referencia al precio del alquiler (disposición final segunda) no suponen demora en las modificaciones aprobadas. Así como la flexibilidad de los convenios en materia de infraestructuras de transportes a fin de conectar las ciudades es una de las claves del buen funcionamiento del mercado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niega que las reformas en el IBI y en el ITP hayan “afectado” al deber de contribuir del art. 31 CE. Al respecto, no se ha establecido, creado o implantado un nuevo tributo ni ha afectado a los elementos esenciales de los mismos. Y sirven además al objetivo conjunto del decreto-ley, pues permiten valorar el grado de solvencia del arrendatario (obligación de repercutir el IBI cuando el arrendador sea un ente público); bonificar a las viviendas protegidas en régimen de alquiler a precio limitado y reducir las cargas administrativas asociadas el alquiler de la vivienda (exención en el ITP).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enero de 2020 se señaló para deliberación y votación de la presente sentencia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Ciento dos diputados del grupo parlamentario Popular del Congreso interponen recurso de inconstitucionalidad contra el Real Decreto-ley 7/2019, de 1 de marzo, de medidas urgentes en materia de vivienda y alquiler. Consideran que todo él es inconstitucional porque no concurre el presupuesto habilitante del art. 86.1 CE (situación de “extraordinaria y urgente necesidad”), y además imputan a algunas de sus disposiciones no guardar la debida “conexión de sentido” (STC 29/1982, de 31 de mayo, FJ 3) con la situación de urgencia previamente definida (artículos segundo y tercero y disposiciones adicionales primera, segunda y tercera) y vulnerar los límites materiales del mismo art. 86.1 CE, al “afectar” a un deber de los ciudadanos del título I como es el deber de contribuir al sostenimiento de los gastos públicos del art. 31.1 CE (artículos cuarto y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Analizaremos los motivos en el mismo orden seguido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Primer motivo del recurso: definición explícita y razonada de la situación de “extraordinaria y urgente necesidad” (art. 86.1 CE). Alcance del control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consolidada jurisprudencia de este Tribunal, iniciada en la antes mencionada STC 29/1982, el control del presupuesto habilitante del art. 86.1 CE exige, primero, que el Gobierno haga una definición “explícita y razonada” de la situación concurrente, y segundo, que exista además una “conexión de sentido” entre la situación definida y las medidas que en el decreto-ley se adopten.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primero de estos requisitos, a los recurrentes les parece que la “definición explícita y razonada” de la situación de extraordinaria y urgente necesidad contenida en la exposición de motivos del real decreto-ley está basada en “afirmaciones sin verdadera base estadística”, en “datos falsos”, no “auténticos”, parciales o “descontextualizados”, de modo que el decreto-ley responde así no tanto a una situación de “urgencia real” como a una situación de “urgencia política electoralista creada ad hoc por quien la invoca”. La representación del Gobierno defiende, por su parte, que los recurrentes no han conseguido acreditar la falsedad de los datos invocados por el Gobierno, y que en realidad estos pretenden “ofrecer su propia versión del mercado del alquiler” y “sustituir el juicio político del Gobierno por el suyo propio”, algo vedado por la doctrina del Tribunal según la cual el control de este es un “control externo” que debe verificar, pero no sustituir, el juicio político o de oportunidad que corresponde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una jurisprudencia inveterada, el concepto de “extraordinaria y urgente necesidad” que emplea el art. 86.1 CE no constituye “una cláusula o expresión vacía de significado dentro de la cual el lógico margen de apreciación política del Gobierno se mueva libremente sin restricción alguna, sino, por el contrario, la constatación de un límite jurídico a la actuación mediante decretos-leyes” [entre las más recientes, SSTC 61/2018, de 7 de junio, FJ 4 a), y 152/2017, de 21 de diciembre, FJ 3, ambas con cita de otras]. Y por eso hemos dicho que “sin perjuicio del peso que en la apreciación de lo que haya de considerarse como caso de extraordinaria y urgente necesidad haya de concederse al juicio puramente político de los órganos a los que incumbe la dirección del Estado, es función propia de este Tribunal el aseguramiento de estos límites, la garantía de que en el ejercicio de esta facultad, como cualquier otra, los poderes públicos se mueven dentro del marco trazado por la Constitución, de forma que este Tribunal puede, en supuestos de uso abusivo o arbitrario, rechazar la definición que los órganos políticos hagan de una situación determinada como de ‘extraordinaria y urgente necesidad’ y, en consecuencia, declarar la inconstitucionalidad por inexistencia del presupuesto habilitante por invasión de las facultades reservadas a las Cortes Generales por la Constitución” (por todas, STC 18/2016, de 4 de febrero, FJ 3,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verdad que hemos dicho también, como recuerda al abogado del Estado, que el control de este Tribunal es un “control externo, en el sentido de que debe verificar, pero no sustituir, el juicio político o de oportunidad que corresponde al Gobierno” [SSTC 61/2018, FJ 4 b), y 142/2014, de 11 de septiembre, FJ 3, citadas por el abogado del Estado en sus alegaciones], pero ello no significa que no pueda cuestionarse ante este Tribunal la veracidad de los datos o afirmaciones efectuadas por el Gobierno para justificar la existencia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doctrina del “control externo” se trata simplemente de deslindar el control político o de oportunidad, que este Tribunal tiene vedado, del control estrictamente jurídico que debe verificar (art. 27 de la Ley Orgánica del Tribunal Constitucional), teniendo siempre presente para este último el necesario “margen de apreciación” que debe reconocerse al Gobierno como órgano de dirección política cuando de decisiones de esta naturaleza se trata. Como se dice en las mismas SSTC 142/2014 y 61/2018 citadas por la representación del Gobierno “[e]l control de este Tribunal consiste en un control jurisdiccional ex post, y tiene por misión velar por que el Gobierno no se haya apartado del margen de apreciación concedido por la norma, esto es, que aquél se mantenga dentro del concepto jurídicamente asequible que es la situación de extraordinaria y urgente necesidad”. O, como puntualiza la primera sentencia constitucional sobre la materia, “[e]l peso que en la apreciación de lo que haya de considerarse como caso de extraordinaria y urgente necesidad es forzoso conceder al juicio puramente político de los órganos a los que incumbe la dirección política del Estado, no puede ser obstáculo para extender también el examen sobre la competencia habilitante al conocimiento del Tribunal Constitucional, en cuanto sea necesario para garantizar un uso del decreto-ley adecuado a la Constitución” (STC 29/1982,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son las premisas desde las que debemos valorar la descripción explícita y razonada de la situación de “extraordinaria y urgente necesidad” ofrecida por el Gobierno para justificar la aprobación del Real Decreto-ley 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Presentación explícita y razonada de la situación de extraordinaria y urgente necesidad ofrecida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reiterada jurisprudencia, esta presentación explícita y razonada puede contenerse en la exposición de motivos del real decreto-ley, en el debate parlamentario de convalidación y, en su caso, en el expediente de elaboración de la norma [STC 61/2018, FJ 4 d),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exposición de motivos del Real Decreto-ley 7/2019, en lo que a esta cuestión interesa, dice lo siguiente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subrayar que el requisito de extraordinaria necesidad y la urgencia de las medidas se apoyan y justifican en sólidos motivos. La grave situación de vulnerabilidad económica y social de un gran número de familias y hogares para afrontar los pagos de una vivienda en el mercado constituye el primer motivo de urgencia. Según datos de Eurostat, en el año 2017, más del 42 por 100 de los hogares españoles destinaban más del 40 por 100 de sus ingresos al pago del alquiler. Ello supone que España se sitúa 17 puntos porcentuales por encima del valor medio de la Unión Europea y, si no se adoptan las medidas oportunas, previsiblemente irá en aumento, ya que el precio de los alquileres se ha incrementado en los últimos tres años en más de un 15 por 100 y, en algunas localizaciones, el incremento duplica el registrado en el conjunto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desigual y heterogéneo comportamiento del mercado del alquiler de vivienda pone de manifiesto la existencia de diversos factores que inciden en esta evolución, y que constituyen el segundo motivo que justifica la urgencia y extraordinaria necesidad de las medidas. Se observa que el incremento de los precios del mercado de la vivienda ha sido particularmente intenso en entornos territoriales de fuerte dinámica inmobiliaria caracterizados por una mayor actividad turística desarrollada sobre el parque de viviendas existente. Ello se pone de manifiesto si se analiza la evolución de los precios en los últimos años: las provincias en las que los precios de la vivienda se han incrementado con mayor intensidad han sido Madrid, Barcelona, Las Palmas, Baleares, Málaga y Santa Cruz de Tenerife. No cabe duda de que, aunque pueden existir diversos factores que explican este incremento de los precios, el fenómeno creciente del alquiler turístico de vivienda a través de plataformas p2p incide en un contexto en el que, además, la demanda de vivienda en alquiler está creciendo con intensidad. Si se analiza la evolución del alquiler en España de los últimos años, se observa que ha pasado de representar el régimen de tenencia del 20,3 por 100 de la población en el año 2011, al 22,9 por 100 en el año 2017, según los últimos datos de Eurostat, lo que supone un incremento del 12,8 por 100 y puede representar alrededor de 700.000 viviendas más en alquiler en este periodo. Esta tendencia contrasta con la mayor estabilidad de la media de la Unión Europea, en la que el alquiler ha aumentado ligeramente del 29,6 por 100 en 2011 al 30,0 por 100 en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que justifica la urgencia y necesidad de las medidas es la escasez del parque de vivienda social, que en España ofrece cobertura a menos del 2,5 por 100 de los hogares, una cifra que contrasta con los porcentajes sensiblemente superiores al 15 por 100 registrados en algunos de los principales países de nuestro entorno, como Francia, Reino Unido, Suecia, Países Bajos, Austria o Dinamarca. Ello se debe a diferentes causas, entre las que se encuentra la orientación, durante décadas y casi en exclusiva, de las políticas públicas hacia modelos de vivienda protegida en régimen de propiedad. En este escenario, es urgente revertir esta dinámica y eliminar determinadas barreras normativas y de financiación que dificultan el desarrollo de promociones de vivienda en alquiler social por parte de las distintas administraciones públicas, con objeto de dotar al conjunto de la sociedad de un instrumento al servicio del cumplimiento efectivo del derecho constitucional a la vivienda, que es especialmente necesario para aquellas personas y hogares que tienen más dificultades para acceder al mercado por sus escasos medios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estas situaciones de especial vulnerabilidad que viven muchas familias y hogares después de años de profunda crisis económica caracterizada por una intensa destrucción y precarización del empleo, se formula el cuarto motivo que justifica la urgencia y extraordinaria necesidad de las medidas. El número de desahucios vinculados a contratos de alquiler está creciendo a un ritmo anual muy próximo al 5 por 100. Esta negativa evolución de los lanzamientos practicados como consecuencia de procedimientos derivados de la Ley de arrendamientos urbanos contrasta con la reducción progresiva de los lanzamientos derivados de ejecuciones hipotecarias y con la evolución y crecimiento general de la economía y del empleo en nuestro país. Ante esta situación, es urgente adoptar medidas para corregir los efectos de la reforma practicada en la regulación de los contratos de arrendamiento en 2013, ampliando los plazos legales e introduciendo en el procedimiento de desahucio mecanismos que sirvan para responder a la grave situación que viven los hogares más vulnerables, estableciendo plazos y garantías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resulta necesario en este punto avanzar en el cumplimiento de nuestros compromisos con los acuerdos internacionales sobre derechos sociales en una materia que no admite demora. En este sentido, cabe recordar el dictamen del Comité de derechos económicos, sociales y culturales del Consejo Económico y Social de Naciones Unidas, adoptado el 20 de junio de 2017 en el que, entre otros aspectos, instaba al Gobierno de España a asegurar que su legislación y su aplicación sea conforme con las obligaciones establecidas en el Pacto internacional de derechos económicos, sociales y culturales. Y, en particular, señalaba la obligación de adoptar las medidas necesarias para superar los problemas de falta de coordinación entre las decisiones judiciales y las acciones de los servicios sociales en los procedimientos de desahucio de la vivienda habitual cuando afecta a hogares especialmente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quinto motivo que ampara la urgencia de las medidas es la necesidad de responder desde el ámbito de la vivienda a las deficiencias en materia de accesibilidad que sufren diariamente las personas con discapacidad y movilidad reducida, en un contexto demográfico marcado por un progresivo y alarmante envejecimiento de la población: se prevé que, en la próxima década, la población mayor de 65 años superará sobradamente los 10 millones de personas. Por ello, es urgente atender a la dramática situación que viven muchos hogares en el seno de comunidades de propietarios, que se encuentran afectados por barreras y condicionantes físicos que les impiden el ejercicio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anteriormente expuesto, y sin perjuicio de que futuras iniciativas legislativas puedan completar la regulación en materia de vivienda, abordando los aspectos estructurales, los principios generales y las garantías que aseguren la igualdad en el ejercicio de este derecho en el conjunto del Estado, resulta imprescindible la adopción urgente de una norma con rango de ley que permita la modificación de diferentes disposiciones normativas para adoptar determinadas medidas que cuentan con un alto grado de consenso social y no admiten demora, al afectar al ejercicio del derecho constitucional a una vivienda digna y adecuada de muchos hogares”.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el apartado tercero de la exposición de motivos vuelve a referirse al requisito de la extraordinaria y urgente necesidad,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real decreto-ley respeta los límites constitucionalmente establecidos para el uso de este instrumento normativo, pues no afecta al ordenamiento de las instituciones básicas del Estado, a los derechos, deberes y libertades de los ciudadanos regulados en el título I de la Constitución, al régimen de las comunidades autónomas ni al derecho electoral general. Debe reseñarse, que las materias que se abordan han sido modificadas en el pasado, atendiendo a razones de urgente necesidad, a través de este instrumento. Entre ellos, puede recordarse el Real Decreto-ley 2/1985, de 30 de abril, sobre medidas de política económica que modificó la regulación de los arrendamientos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real decreto-ley representa un instrumento constitucionalmente lícito, en tanto que pertinente y adecuado para la consecución del fin que justifica la legislación de urgencia, que no es otro, tal como reiteradamente ha exigido nuestro Tribunal Constitucional, que subvenir a una situación concreta, dentro de los objetivos gubernamentales, que por razones difíciles de prever requiere una acción normativa inmediata en un plazo más breve que el requerido por la vía normal o por el procedimiento de urgencia para la tramitación parlamentaria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conjunto y en cada una de las medidas que se adoptan, concurren, por su naturaleza y finalidad, las circunstancias de extraordinaria y urgente necesidad que exige el artículo 86 de la Constitución Española como presupuestos habilitantes para la aprobación de un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 de abril de 2019 se celebró el debate de convalidación del real decreto-ley ante la Diputación Permanente del Congreso de los Diputados (“Diario de Sesiones del Congreso de los Diputados”, núm. 185, págs. 44 y siguientes). El ministro de Fomento asumió su defensa en nombre del Gobierno, y se refirió al presupuesto habilitante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este real decreto-ley el Gobierno sigue apostando por la política de vivienda y la regulación de aspectos fundamentales en el acceso a la vivienda que afectan a muchos ciudadanos. Para ello, el requisito de extraordinaria necesidad y la urgencia de las medidas que recoge este real decreto-ley se apoya y justifica en sólidos motivos como son los siguientes. El primero, la grave situación de vulnerabilidad económica y social de un gran número de familias y hogares para afrontar los pagos de una vivienda en el mercado. Según datos de Eurostat, en el año 2017 más del 42  por 100 de los hogares españoles que viven en régimen de alquiler destinaban más del 40  por 100 de sus ingresos para el pago de las mensualidades, y ello supone que España se sitúa 17 puntos porcentuales por encima del valor medio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de los motivos es la escasez del parque de vivienda social, que en España ofrece cobertura a menos del 2,5  por 100 de los hogares; una cifra que contrasta con los porcentajes sensiblemente superiores a 15 por 100 registrados en algunos de los principales países de nuestro entorno, como Francia, Reino Unido, Suecia, Países Bajos, Austria o Dinamarca. Como referencia, según la encuesta continua de hogares, del INE, que conocimos precisamente ayer, el 53,1 por 100 de los jóvenes entre 25 y 29 años vivía con sus padres o con algunos de ellos en 2018, porcentaje que ha crecido 4,6 puntos en los últimos cinco años. En tercer lugar, el número de desahucios vinculados a contratos de alquiler. Estamos creciendo a un ritmo anual muy próximo al 5 por 100. Cuarto, seguir avanzando en el cumplimiento de nuestros compromisos con los acuerdos internacionales sobre derechos sociales en una materia que no admite demora. En este sentido, cabe recordar el dictamen del Comité de derechos económicos, sociales y culturales del Consejo Económico y Social de Naciones Unidas, adoptado el 20 junio 2017 que, en particular, señalaba la obligación de adoptar las medidas necesarias para superar los problemas de falta de coordinación entre las decisiones judiciales y las acciones de los servicios sociales en los procedimientos de desahucio de la vivienda habitual cuando afecta a hogares especialmente vulnerables. Teniendo en cuenta todo lo anterior, hemos realizado los trabajos oportunos para volver a presentar un nuevo texto con rango de ley con determinadas mejoras que se introducen en este Real Decreto-ley 7/2019, de medidas urgentes en materia de vivienda y alquiler con los siguientes objetivos: ofrecer mayor seguridad y certidumbre al inquilino, incentivar la oferta y dar apoyo a los grupos más vulnerables y aliviar la carga financiera de las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paso a describir con más detalle, teniendo cuenta los tres objetivos que ha perseguido este texto normativo y que acabo de mencionar, el contenido del real decreto-ley cuya convalidación debatimos hoy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Concluyo ya, señorías. Mediante este real decreto-ley tratamos de dar una respuesta política urgente al problema de acceso a la vivienda en España, revirtiendo las consecuencias que sobre el mercado del alquiler tuvo la reforma de la LAU en 2013. Asimismo, defiende a los inquilinos, da seguridad a los arrendadores y pone límite a las prácticas abusivas en el mercado por parte de los fondos de inversión. De igual forma, trata de solucionar el drama creciente de los desahucios. Para finalizar, retomamos la iniciativa para solucionar el problema de la vivienda en España. No cabe duda de que todas estas medidas deberán ir acompañadas de medidas adicionales en las que continuamos trabajando. En este sentido, venimos realizando un trabajo de mayor profundidad y reflexión sobre el marco normativo vigente que afecta a la vivienda en España. Este trabajo deberá culminar con la presentación en la próxima legislatura de una ley estatal de vivienda cuyo borrador se encuentra en un estado muy avanzado.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el Gobierno ha actuado en el corto plazo para atender asuntos que sin duda aún requieren actuaciones urgentes, pero también se trabaja en el largo plazo. Tenemos a España en la cabeza, a sus ciudadanos, a sus territorios y a sus organizaciones de diálogo social donde el derecho al acceso a una vivienda ha de ser protegido por los poderes públicos y es un objetivo primordial para este Gobierno. Esta es nuestra determinación, que seguiremos defendiendo con la misma ilusión y convicción con la que hemos actuado durante este tiempo. Por ello, desde el Gobierno consideramos que la convalidación del real decreto-ley es necesaria, para lo que hemos procurado mantener contactos con los distintos grupos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memoria del análisis de impacto normativo aportada por el Gobierno en su escrito de alegaciones, además de aludirse, en términos prácticamente idénticos, a los cinco motivos a los que se refiere la exposición de motivos del real decreto-ley, se contiene la siguiente mención adicional, bajo la rúbrica “alternativas”: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del Grupo de Trabajo [se refiere al grupo de trabajo interministerial para el desarrollo de medidas urgentes en materia de vivienda y alquiler constituido por la Comisión Delegada del Gobierno para Asuntos Económicos en septiembre de 2018] se han analizado diferentes alternativas en relación con el desarrollo de las medidas urgentes propuestas. Asimismo, en relación con el tipo de vehículo normativo, la tramitación como real decreto-Ley se ha adoptado atendiendo a las razones de extraordinaria y urgente necesidad que justifican todas y cada una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Tramitación a través de diferentes proyectos de ley presentados por el Gobierno. Teniendo en cuenta el alcance de las modificaciones, se planteó la posibilidad de tramitar de manera independiente diferentes proyectos de ley que reformasen cada una de las normas necesarias: Ley de arrendamientos urbanos, Ley sobre propiedad horizontal, Ley de enjuiciamiento civil y normas tributarias. Sin embargo, esta posibilidad fue rechazada atendiendo a la importancia de acometer las distintas reformas de manera conjunta, para tener un efecto coordinado y complementario.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Tramitación a través de un único proyecto de ley presentado por el Gobierno. Otra de las alternativas planteadas fue la tramitación del conjunto de medidas a través de un proyecto de ley presentado por el Gobierno, para así conseguir su efecto coordinado y complementario. No obstante, esta posibilidad de tramitación fue rechazada teniendo en cuenta la importancia de hacer frente en el plazo más breve posible a los problemas y atender a la extrema situación que viven muchos hogares para acceder a la vivienda y, de modo particular, a través del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Tramitación a través de un real decreto-ley de medidas urgentes. Finalmente, en el marco del grupo de trabajo interministerial se acordó tramitar de manera conjunta un repertorio de medidas urgentes a través de la figura del real decreto-ley, cuya elección encuentra una sólida justificación en su extraordinaria y urgente necesidad. En todo caso, y de forma complementaria, en el mismo grupo de trabajo se han identificado otras medidas y líneas de trabajo en las que se avanzará en los próximos meses, pero que no se han seleccionado para su incorporación al anteproyecto de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situación descrita puede ser considerada por el Gobierno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 los pasajes transcritos se concluye que el Gobierno quiere atender o subvenir a una situación caracterizada por las siguientes notas: (i) la situación de vulnerabilidad económica de familias y hogares que destinan más del 40 por 100 de sus ingresos al pago del alquiler; (ii) el incremento de los precios del alquiler motivado, entre otros factores, por el fenómeno del alquiler turístico de viviendas, especialmente sensible en determinadas zonas del territorio nacional; (iii) la escasez del parque de vivienda social; (iv) el aumento del número de desahucios vinculados a los contratos de alquiler, que contrasta con la reducción progresiva de lanzamientos derivados de ejecuciones hipotecarias; y (v) deficiencias en materia de accesibilidad que sufren personas discapacitadas y mayores.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línea discursiva de los recurrentes, y tomando en consideración la homogeneidad de las reformas contenidas en el real decreto-ley recurrido, que se refieren todas ellas a vivienda y persiguen un “efecto coordinado y complementario” según la memoria del análisis de impacto normativo antes reproducida (fundamento jurídico anterior, letra c), apartado segundo), debemos efectuar una “valoración conjunta” de todos aquellos factores que determinaron al Gobierno a dictar la disposición legal excepcional (STC 152/2017, FJ 3, con cita de otras; y, a contrario sensu, SSTC 61/2018, FJ 6, y 199/2015, de 24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recurre el real decreto-ley en su conjunto no es posible, por tanto, aislar uno por uno los motivos invocados por el Gobierno para, desacreditándolos individualmente, concluir que no existe una situación de las características exigidas (“extraordinaria y urgente necesidad”). En estos casos, la perspectiva ha de ser de conjunto, y desde esta aproximación, la situación descrita por el Gobierno se mantiene dentro de los márgenes de apreciación que deben reconocérsele para hacer uso de la potestad legislativa excepcional del art. 86.1 CE. Es una situación en la que un grupo de hogares y familias que carecen de vivienda en propiedad —luego nos detendremos en la cuestión de la trascendencia de su mayor o menor número— destinan un porcentaje de ingresos elevado al pago del alquiler, sin oferta alternativa de vivienda suficiente o adecuada, debido a la ausencia de parques públicos de viviendas y al incremento de los precios consecuencia de las ventajas que para los propietarios genera el alquiler turístico, y que se ven por ello amenazadas de desahucio, a lo que se añade el problema de las deficiencias en materia de accesibilidad en muchas viviendas, agravado por el progresivo envejecimiento de la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una situación acreditada de manera suficiente en este proceso y que reúne las características del art. 86.1 CE que legitiman a un Gobierno para revertirla o corregirla con urgencia, más rápidamente que mediante la aprobación de una ley formal en el parlamento, como se defiende en la memoria del análisis de impacto normativo antes transcrita [supra, fundamento jurídico 3, letra c), apartado tercero], ante los perjuicios concretos, precisos y determinados que para esas familias y hogares produce la situación actual y el retraso en la tramitación de esa ley en el parlamento (para una norma parecida, STC 93/2015, de 14 de mayo, sobre el Decreto-ley del Gobierno de Andalucía 6/2013, de 9 de abril, de medidas para asegurar el cumplimiento de la función social de la vivienda,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los recurrentes no cuestionan la existencia de esta situación, sino su importancia, es decir, la decisión misma de actuar con urgencia mediante real decreto-ley. Pero ello representa una valoración esencialmente política de ordenación de prioridades de actuación que este Tribunal no puede enjuiciar. Frente a los porcentajes aportados por el Gobierno (más del 42 por 100 de hogares españoles destinan más del 40 por 100 de sus ingresos al pago del alquiler), los diputados recurrentes alegan que el porcentaje de vivienda en alquiler en España es reducido (solo el 23,3 por 100 del total de viviendas se posee en régimen de alquiler, frente al 76,7 de viviendas en régimen de propiedad) y que por tanto los hogares afectados son solamente el 42 por 100 de ese 23,3 por 100, es decir, aproximadamente el 9 por 100 del total; sostienen también que la “tasa de esfuerzo” en realidad se ha reducido en un 5,4 por 100 entre 2014 y 2017, desde que alcanzó su punto más alto (47,5 por 100) en el año 2014; y, finalmente, que ese sobreesfuerzo y la presión del alquiler turístico afecta solo o fundamentalmente a determinadas zonas de España. Pero ello no altera las características esenciales de la situación descrita; si acaso reduce el número de afectados, que sigue siendo numeroso y delimitado objetivamente, los localiza geográficamente y atenúa (moderadamente) su “tasa de esfuerzo”. Pero el decreto-ley, al igual que la ley, es un instrumento que puede ser utilizado para atender a situaciones singulares, siempre que se respeten los preceptos y principios constitucionales que condicionan la aprobación de esa clase de normas (al respecto, STC 152/2017, antes citada, sobre el Real Decreto-ley 13/2014 por el que se acordó la “hibernación” y otras medidas en relación con el almacenamiento subterráneo de gas natural “Castor”). Y, como hemos reiterado, este Tribunal “no es juez de la corrección técnica, oportunidad o utilidad de las leyes” sino que “su función jurisdiccional se contrae, exclusivamente, a decidir si las concretas disposiciones impugnadas exceden o no el marco de lo constitucionalmente admisible” (STC 237/2012, de 13 de diciembre, FJ 6, examinando el presupuesto habilitante del Real Decreto-ley 2/2004, de 18 de junio, por el que se modifica la Ley 10/2001, de 5 de julio, del plan hidrológico nacional), de modo que no nos corresponde dilucidar si es oportuno o eficaz tratar de remediar una situación que la propia exposición de motivos reconoce “desigual y heterogéne[a]” mediante una norma general que afecta por igual a todo el territorio nacional, sino simplemente verificar si se ha producido un uso arbitrario del decreto-ley. Y desde la perspectiva netamente jurídica, alejada de valoraciones de oportunidad o conveniencia, no es posible apreciar una creación “artificial” o “ad hoc” por el Gobierno de la situación de urgencia, como denuncian los recurrentes, o, por decirlo en términos de nuestra doctrina, un exceso en el margen de apreciación del Gobierno o un uso arbitrario de la potestad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por tanto,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Análisis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del recurso, los diputados ciñen su impugnación a preceptos concretos, que son el artículo segundo (modificación de la Ley de propiedad horizontal), el artículo tercero (modificación de la Ley de enjuiciamiento civil) y las disposiciones adicionales primera (“medidas para promover la oferta de viviendas en alquiler”), segunda (“sistema de índices de referencia del precio del alquiler de vivienda”) y tercera (“convenios en materia de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motivo, por tanto, requiere la exposición separada de estas reformas y de los alegatos efectuados sobre ellas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artículo segundo, se impugna la reforma del régimen de obras de mejora de la accesibilidad y la modificación del fondo de reserva que afecta a su cuantía (que pasa del 5 al 10 por 100) y a los objetivos que con él se pueden atender (que pasa a incluir también ese tipo de obras, y no solo las de conservación, mantenimiento y rehabilitación, como antes del real decreto-ley). Estas reformas se contienen en los núms. 1 y 2 del artículo segundo, que tienen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segundo. Modificación de la Ley 49/1960, de 21 de julio, de propiedad horizontal.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49/1960, de 21 de julio, de propiedad horizontal, queda modificada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la letra f) del artículo noveno.1, que queda redactada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Contribuir, con arreglo a su respectiva cuota de participación, a la dotación del fondo de reserva que existirá en la comunidad de propietarios para atender las obras de conservación, de reparación y de rehabilitación de la finca, así como la realización de las obras de accesibilidad recogidas en el artículo 10.1 b)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fondo de reserva, cuya titularidad corresponde a todos los efectos a la comunidad, estará dotado con una cantidad que en ningún caso podrá ser inferior al 10 por ciento de su último presupuesto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cargo al fondo de reserva la comunidad podrá suscribir un contrato de seguro que cubra los daños causados en la finca o bien concluir un contrato de mantenimiento permanente del inmueble y sus instalaciones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Se modifica la letra b) del artículo 10.1, que queda redactada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obras y actuaciones que resulten necesarias para garantizar los ajustes razonables en materia de accesibilidad universal y, en todo caso, las requeridas a instancia de los propietarios en cuya vivienda o local vivan, trabajen o presten servicios voluntarios, personas con discapacidad, o mayores de setenta años, con el objeto de asegurarles un uso adecuado a sus necesidades de los elementos comunes, así como la instalación de rampas, ascensores u otros dispositivos mecánicos y electrónicos que favorezcan la orientación o su comunicación con el exterior, siempre que el importe repercutido anualmente de las mismas, una vez descontadas las subvenciones o ayudas públicas, no exceda de doce mensualidades ordinarias de gastos comunes. No eliminará el carácter obligatorio de estas obras el hecho de que el resto de su coste, más allá de las citadas mensualidades, sea asumido por quienes las hayan requerido.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será obligatorio realizar estas obras cuando las ayudas públicas a las que la comunidad pueda tener acceso alcancen el 75 por 100 del importe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modificaciones legislativas, dice el recurso, “pueden ser muy valiosas” pero “no guardan relación alguna” con la situación de extraordinaria y urgente necesidad. El escrito de alegaciones del abogado del Estado sostiene, en cambio, que esas medidas sí guardan relación con la situación de extraordinaria y urgente necesidad, en concreto con el quinto motivo de urgencia de la exposición de motivos del real decreto-ley, es decir, con “la necesidad de responder… a las deficiencias en materia de accesibilidad que sufren diariamente las personas con discapacidad y movilidad reducida, en un contexto demográfico marcado por un progresivo y alarmante envejecimiento de la población” pues “se prevé que, en la próxima década, la población mayor de 65 años superará sobradamente los 10 millones de personas. Por ello, es urgente atender a la dramática situación que viven muchos hogares en el seno de comunidades de propietarios, que se encuentran afectados por barreras y condicionantes físicos que les impiden el ejercicio de sus derechos” (exposición de motivos,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anterior hemos considerado cumplido el requisito de la definición explícita y razonada de la situación de extraordinaria y urgente necesidad exigida por el art. 86.1 CE. Nos ceñiremos ahora al segundo de los requisitos exigidos por nuestra doctrina, la conexión de sentido, cuya falta denuncian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la reforma aquí impugnada en materia de accesibilidad guarda evidente relación con el quinto motivo justificativo de la situación de extraordinaria y urgente necesidad definida en la exposición de motivos del real decreto-ley: se trata de paliar o revertir “las deficiencias en materia de accesibilidad que sufren diariamente las personas con discapacidad y movilidad reducida”. Es, además, un tipo de actuación que se inscribe en una tendencia que se inicia en los años 90 y a la que no ha sido ajena la utilización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3/1990, de 21 de junio, por la que se modifica la Ley 49/1960, de 21 de julio, de propiedad horizontal, para facilitar la adopción de acuerdos que tengan por finalidad la adecuada adaptación a las personas con discapacidad del edificio de su vivienda, modificó la regla de la unanimidad de la junta de propietarios para adoptar acuerdos que impliquen la aprobación o modificación de las reglas contenidas en el título constitutivo de la propiedad o en los estatutos, reduciéndola a tres quintos para la supresión de barreras arquitectónicas. Posteriormente, la Ley 15/1995, de 30 de mayo, sobre límites del dominio sobre inmuebles para eliminar barreras arquitectónicas a las personas con discapacidad, atribuyó a todo usuario de una vivienda, incluidos los arrendatarios, el derecho a promover y llevar a cabo las obras de adecuación de la finca urbana y de los accesos a la misma desde la vía pública (art. 3) aunque asumiendo el coste de las mismas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comienza una actuación normativa —que persiste hasta la actualidad— destinada, por un lado, a reducir aún más el quórum y la mayoría necesaria para la realización de obras de accesibilidad, y, por otro, a hacer obligatorias, aun sin acuerdo de la comunidad, obras de este tipo solicitadas por propietarios siempre que su cuantía no exceda de determinados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Ley 8/1999, de 6 de abril, de reforma de la Ley de propiedad horizontal, redujo aún más la mayoría de tres quintos establecida por la Ley 3/1990 para la adopción de acuerdos vinculados con la accesibilidad, al exigir para ellos solamente “el voto favorable de la mayoría de los propietarios que, a su vez, representen la mayoría de las cuotas de participación”, y computándose como voto favorable el de los propietarios ausentes, debidamente citados, que no mostrasen su discrepancia con el acuerdo adoptado en el plazo de 30 días. Posteriormente, la Ley 51/2003, de 2 de diciembre, de igualdad de oportunidades, no discriminación y accesibilidad universal de las personas con discapacidad, modificó nuevamente la Ley de propiedad horizontal para obligar a la comunidad de propietarios a la realización de obras de accesibilidad en elementos comunes a favor de personas con discapacidad con el límite de que tales mejoras no excediesen del importe de tres mensualidades, y estableciendo en caso contrario que únicamente serían exigibles si hubieran sido aprobadas por acuerdo con la mayoría correspondiente (disposición adicional tercera, que dio nueva redacción a los arts. 10 y 11 LPH). Ya en el año 2011, mediante la Ley 26/2011, de 1 de agosto, de adaptación normativa a la Convención internacional sobre los derechos de las personas con discapacidad, se estableció el carácter obligatorio para las comunidades de propietarios de financiar las reformas de accesibilidad en elementos comunes que no excediesen de doce mensualidades ordinarias de gastos comunes, con algunas excepciones vinculadas al coste de las obras y el nivel de ingresos de alguna de las unidades familiares propietarias de la comunidad, y aclarando que en caso de adopción válida de acuerdo la comunidad estaría en todo caso obligada al pago de los gastos originados, independientemente de su cuantía. Ese mismo año se aprobó además 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 en el que establecieron medidas de tipo urbanístico y de fomento dirigidas a obligar a las comunidades de propietarios, incluso a requerimiento de la administración o mediante la ejecución subsidiaria de esta, a realizar obras de accesibilidad (arts. 17 a 22). Por último, la Ley 8/2013, de 26 de junio, de rehabilitación, regeneración y renovación urbanas, volvió a modificar la Ley de propiedad horizontal para suprimir las excepciones a la obligación de acometer y financiar obras de accesibilidad vinculadas a los ingresos de alguna de las unidades familiares afectadas establecidas por la Ley 26/2011 antes aludida, de modo que esas obras pasaron a ser obligatorias para la comunidad de propietarios siempre que su importe, descontadas subvenciones, no excediese de doce mensualidades de gastos comunes y manteniéndose en todo caso la obligación de atender a esos gastos, independientemente de su cuantía, si las obras fueran acordadas por las mayorías correspondientes (la STC 143/2017, de 14 de diciembre, declaró parcialmente inconstitucional esta Ley 8/2013 por razones competenciales, pero sin afectar al régimen de propiedad horizontal).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evolución normativa pone de manifiesto una preocupación constante y la existencia de un problema no resuelto, agravado por el progresivo envejecimiento de la población. Se cumplen por tanto los requisitos del art. 86.1 CE y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artículo tercero los recurrentes alegan que la reforma que el mismo lleva a cabo en los artículos 249, 440, 441, 549 y 686 de la Ley de enjuiciamiento civil descansa en una motivación “falsa”, en cuanto el Gobierno la justifica en la necesidad de “avanzar en el cumplimiento de nuestros compromisos con los acuerdos internacionales sobre derechos sociales”, y en particular con las recomendaciones efectuadas en el dictamen del Comité de Derechos Económicos, Sociales y Culturales del Consejo Económico y Social de Naciones Unidas de 20 de junio de 2017, que instaba a España a “adoptar las medidas necesarias para superar los problemas de falta de coordinación entre las decisiones judiciales y las acciones de los servicios sociales en los procedimientos de desahucio de la vivienda habitual cuando afecta a hogares especialmente vulnerables” (exposición de motivos, apartado primero), olvidando u omitiendo que esa adaptación ya se había llevado a cabo en la Ley 5/2018, de 11 de junio, examinada por el Tribunal Constitucional en STC 32/2019, de 28 de febrero. El Gobierno, por su parte, defiende que las reformas van más allá de las medidas aprobadas hasta la fecha y clarifican el procedimiento aportando mayor seguridad jurídica y mayor protección para las situaciones que demanden una mayor protección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está formulado, el motivo no puede ser acogido. Las reformas introducidas en el régimen de desahucios por falta de pago de arrendamientos respecto del sistema establecido en la Ley 5/2018 guardan la debida relación de congruencia con la situación de extraordinaria y urgente necesidad que se quiere revertir. A la comunicación a los servicios sociales ya presente en el art. 441.1 bis de la Ley de enjuiciamiento civil, redactado por la Ley 5/2018, se añade ahora la suspensión obligatoria del procedimiento por tiempo de uno o tres meses, según el arrendador sea persona física o jurídica (nuevo art. 441.5). No es misión de este Tribunal comprobar o enjuiciar la utilidad o eficacia práctica de la reforma, o la suficiencia del régimen anterior. Solamente se nos plantea su “conexión de sentido” con la situación de extraordinaria y urgente necesidad previamente descrita (situación económica apurada, desprotección de arrendatarios y reducción de los desahucios practicados por este motivo). Y como esa conexión existe,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primera contra la que se dirige a continuación esta parte del recurso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primera. Medidas para promover la oferta de vivienda en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Ministerio de Fomento pondrá en marcha las siguientes medidas para dinamizar la oferta de vivienda en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Movilización de suelo público perteneciente a la Administración General del Estado y los organismos de ella dependientes, para la promoción de vivienda en alquiler social o asequible, mediante fórmulas de colaboración público-privadas.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Modulación de los instrumentos financieros del Plan Estatal de Vivienda con el fin de promover los mecanismos público-privados para atender las necesidades de alquiler social y asequible, particularmente mediante la cesión de derecho de superficie sobre suelo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Reorientación del Plan Estatal de Vivienda, que deberá apoyar exclusivamente el disfrute de vivienda en régimen de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Acuerdos con las administraciones sectorialmente competentes para la agilización de las licencias urbanísticas, priorizando en las ayudas del Plan Estatal de Vivienda a aquellas que hayan alcanzado acuerdos de este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plazo de dos meses, el Ministerio presentará un informe a la Comisión Delegada del Gobierno para Asuntos Económicos, detallando las vías de cumplimiento del mandato contenido en esta Disposición adicional y plazos que se prevén a esos efectos. A partir de ese momento, en el mes de diciembre de cada año deberá presentar un informe a la Comisión Delegada del Gobierno para Asuntos Económicos con los progresos obtenidos en términos de vivienda adicional puesta en el mercado en régimen de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diputados recurrentes se trata de una disposición que contiene enunciados “genéricos” y “frases comunes”, pero no “medidas reales, efectivas, concretas y de aplicación inmediata” o “instantánea ejecución”, como correspondería a una norma de urgencia. En defensa de esta disposición, el abogado del Estado la vincula a la insuficiente oferta de viviendas en alquiler y a las actuaciones “por el lado de la oferta” con que se quieren complementar las medidas de protección de los arrendatarios contenidas en otros artículos del real decreto-ley. Por otra parte, su contenido impreciso —continúa— se justifica por su vocación esencialmente planificadora; y además, se trata de una norma eficaz desde la entrada en vigor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ha disociado, efectivamente, la inmediatez de la modificación normativa aprobada mediante real decreto-ley y la inmediatez de sus efectos, pues “no debe confundirse eficacia inmediata de la norma provisional con la ejecución instantánea de la misma. Sólo aquella es un requisito ínsito en la definición constitucional del decreto-ley establecida en el art. 86.1 CE […] en tanto que la celeridad de la completa ejecución estará en función de la naturaleza y complejidad de las propias medidas adoptadas en cada decreto-ley para hacer frente a la situación de urgencia” [SSTC 104/2015, de 28 de mayo, FJ 7 b); 93/2015, de 14 de mayo, FJ 7, y 237/2012, de 13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debe partirse siempre de la necesidad de una norma con rango de ley y de la eficacia ad extra de las medidas contenidas en la norma, aunque esta se demore por su propia naturaleza, por ejemplo, por tratarse de la norma legal habilitante que debe regir la aprobación futura de planes de reconversión industrial [STC 29/1986, de 20 de febrero, FJ 2 c)], o de la regulación de nuevas infraestructuras hidráulicas pendientes de ejecución (STC 237/2012, FJ 6) o de procedimientos administrativos que requieren determinados plazos para su tramitación y resolución (STC 93/2015,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de esto sucede en el presente caso. El apartado primero de la disposición adicional recurrida, al delimitar “de manera clara los cuatro ámbitos en los que debe centrarse el mencionado programa de medidas de impulso de la oferta” —por decirlo en palabras del abogado del Estado— se refiere “a la movilización de suelo público”, por una parte [apartado a)] y a modificaciones en el plan estatal de vivienda, por otra [apartados b), c) y d)], además de aludir a la posible firma de “acuerdos” con otras administraciones [apartado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no ha justificado la necesidad de acudir a un real decreto-ley para la adopción de unas medidas para cuya puesta en práctica, en principio, no se aprecia la exigencia de contar con la habilitación de una norma con rango de ley. En efecto, no se acredita que ninguna de esas actuaciones precise una norma con rango de ley (el vigente plan estatal de vivienda se contiene en el Real Decreto 106/2018, de 9 de marzo), ni desde luego la necesita la labor de estudio o planificación de reformas por la administración, a la que se dirige la disposición, que es de eficacia puramente interna o doméstica.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existen en la Constitución de 1978 reservas de reglamento, como este Tribunal ha reiterado, lo cual implica que a la ley no le está vedada la regulación de materias atribuidas anteriormente al poder reglamentario (por todas, STC 87/2018, de 19 de julio, FJ 3). Ello nos ha llevado a reconocer “la aptitud del decreto-ley para abordar una regulación que podría haberse incluido en una norma reglamentaria, siempre que la exigencia de sistematicidad en la regulación de la materia haga aconsejable su regulación conjunta a través del decreto-ley, pues lo que este Tribunal ha declarado inconstitucional, por contrario al art. 86.1, son las remisiones reglamentarias exclusivamente deslegalizadoras carentes de cualquier tipo de plazo [SSTC 29/1982, de 31 de mayo, FJ 6, y 29/1986, de 28 de febrero, FJ 2 c)], y no las habilitaciones reglamentarias relacionadas con cambios organizativos (STC 23/1993, de 13 de febrero, FJ 6) o necesarias, dada la imposibilidad técnica de proceder a una aplicación inmediata de los preceptos del decreto-ley” (STC 12/2015, de 5 de febrero, FJ 5). Profundizando en esta doctrina, debemos concluir que la utilización del decreto-ley solamente será constitucionalmente legítima si la norma reglamentaria no permite dar la respuesta urgente que requiere la situación que según el Gobierno es preciso resolver. Es decir, si de lo que se trata es de utilizar un real decreto-ley para ordenar una materia que antes era regulada por normas reglamentarias, la justificación del empleo de ese producto normativo impone al Gobierno la necesidad de razonar por qué esa regulación requería precisamente la elevación de ese rango en el momento en que se aprobó el real decreto-ley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este caso no existe esa justificación, la disposición adicional primera no cumple con los requisitos del art. 86.1 CE para su aprobación por real decreto-ley, y por lo tanto debe ser declarada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segunda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segunda. Sistema de índices de referencia del precio del alquiler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garantizar la transparencia y el conocimiento de la evolución del mercado del alquiler de viviendas, así como para aplicar políticas públicas que incrementen la oferta de vivienda asequible y para facilitar la aplicación de medidas de política fiscal, se crea el sistema estatal de índices de referencia del precio del alquiler de vivienda, que se ajustará a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elaborará en el plazo de ocho meses por la Administración General del Estado, a través de un procedimiento sujeto a los principios de transparencia y publicidad. La resolución por la que se determine el sistema de índices de referencia se publicará en el ‘Boletín Oficial del Estado’. Contra la resolución por la que se apruebe el sistema de índices de referencia podrá interponerse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la determinación del índice estatal se utilizarán los datos procedentes de la información disponible en la Agencia Estatal de la Administración Tributaria, en el catastro inmobiliario, en el registro de la propiedad, en los registros administrativos de depósitos de fianza y en otras fuentes de información, que sean representativos del mercado del alquiler de vivienda. Anualmente se ofrecerá una relación de valores medios de la renta mensual en euros por metro cuadrado de superficie de la vivienda, agregados por secciones censales, barrios, distritos, municipios, provincias y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sus respectivos ámbitos territoriales, las comunidades autónomas podrán definir de manera específica y adaptada a su territorio, su propio índice de referencia, para el ejercicio de sus competencias y a los efectos de diseñar sus propias políticas y programas públicos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norma no tiene “aplicación inmediata”, pues el sistema de índices de referencia del precio del alquiler de vivienda “se elaborará en el plazo de ocho meses” por la Administración General del Estado [apartado primero a)], y además, es improcedente en cuanto que “es público y notorio que el control de precios o el establecimiento de índices de precios no contribuyen a mejorar el mercado del alquiler”, citando como prueba de ello las experiencias de Francia y Alemania. Por el contrario, el abogado del Estado sostiene que el conocimiento del funcionamiento del mercado del alquiler y su transparencia es requisito imprescindible para su adecuado funcionamiento, y además que la eficacia de la citada disposición es inmediata pues se produce con la entrada en vigor del real decreto-ley, al día siguiente de su publicación en el “Boletín Oficial del Estado” según la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sistema de índices de referencia del precio del alquiler de vivienda sí es aplicable la jurisprudencia que no otorgaba cobertura a la anterior disposición adicional primera. Al contrario que esta última, el resultado de la habilitación conferida en esta disposición adicional segunda —el sistema de índices de referencia del precio del alquiler de vivienda que se apruebe— sí tiene eficacia ad extra “para el ejercicio de sus competencias [de las diferentes administraciones] y a los efectos de diseñar sus propias políticas y programas públicos de vivienda”, como señala su apartado segundo. Además de que no puede descartarse que se trate de criterios orientadores que puedan contribuir a ordenar el mercado de la vivienda. Desde este punto de vista, no puede negarse la conexión de este instrumento con la situación de extraordinaria y urgente necesidad previamente 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reiterar que no es función de este Tribunal enjuiciar la eficacia o utilidad de las normas, sino que las mismas se mantengan dentro del marco de lo constitucionalmente admisible (supra, fundamento jurídico 4), y en concreto, de acuerdo con el motivo de impugnación aducido por la parte actora, su conexión de sentido con la situación de urgencia previamente definida. Y como en el caso de esta disposición adicional segunda esa conexión existe el recurso contra ella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esta parte del recurso termina con la impugnación de la disposición adicional tercera, que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tercera. Convenios en materia de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artículo 49 h) de la Ley 40/2015, de 1 de octubre, de Régimen Jurídico del Sector Público, los convenios cuyo objeto sea la ejecución de infraestructuras de transporte terrestre, aéreo y marítimo tendrán la duración que corresponda al programa de ejecución o financiación de estas, que deberá incorporarse como anexo a la memoria justificativa del convenio, y cuyo plazo inicial no podrá superar los diez años. Las partes podrán acordar su prórroga, antes de la finalización del plazo final, por un período de hasta siete años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parte actora “se desconoce en qué medida” esta clase de convenios “puede bajar el precio del alquiler”: se trata de una norma cuya justificación “no es intuitiva” y además el Gobierno “no proporciona ninguna motivación al respecto”. Por el contrario, el abogado del Estado sostiene que la distribución demográfica de nuestro país se caracteriza por una importante concentración, de modo que la dotación de servicios e infraestructuras debe garantizar una “movilidad sostenible”, como ponen de manifiesto “diferentes documentos estratégicos como la Agenda 2030 de Desarrollo Sostenible de las Naciones Unidas y la propia Agenda Urbana Española, uno de cuyos objetivos es precisamente dotar a las ciudades de una oferta adecuada de vivienda a precios asequibles, atendiendo de manera específica al contrato del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una justificación deslizada ya en la memoria del análisis de impacto normativo, que se refiere a la finalidad de “facilitar el adecuado desarrollo de las actuaciones en [los convenios] incluidas, entre ellas las dirigidas a conectar las ciudades mejorando su accesibilidad”, pero que no es directamente perceptible ni, desde luego, instantánea o inmediata, de modo que no se justifica el desplazamiento de la potestad legislativa de las Cortes Generales (art. 66.2 CE), al no guardar la necesaria relación de conexión de sentido con la situación de extraordinaria y urgente necesidad previamente 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lógica consecuencia, declarar la inconstitucionalidad y nulidad de esta disposición adicional tercera del Real Decreto-ley 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Tercer motivo: vulneración de los límites materiales del decreto-ley por “afectar” (art. 86.1) al deber de contribuir al sostenimiento de los gastos públicos del título I de la Constitución (art. 31.1).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ciñe en este punto al artículo cuarto, apartados primero y tercero, y artículo quinto del Real Decreto-ley 7/2019, que dicen: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cuarto. Modificación del texto refundido de la Ley Reguladora de las Haciendas Locales, aprobado por Real Decreto Legislativo 2/2004,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refundido de la Ley Reguladora de las Haciendas Locales, aprobado por Real Decreto Legislativo 2/2004, de 5 de marzo, queda modificado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El apartado 2 del artículo 63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dispuesto en el apartado anterior será de aplicación sin perjuicio de la facultad del sujeto pasivo de repercutir la carga tributaria soportada conforme a las normas de derecho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y los entes u organismos a que se refiere el apartado anterior repercutirán la parte de la cuota líquida del impuesto que corresponda en quienes, no reuniendo la condición de sujetos pasivos, hagan uso mediante contraprestación de sus bienes demaniales o patrimoniales, los cuales estarán obligados a soportar la repercusión. A tal efecto la cuota repercutible se determinará en razón a la parte del valor catastral que corresponda a la superficie utilizada y a la construcción directamente vinculada a cada arrendatario o cesionario del derecho de uso. Lo dispuesto en este párrafo no será de aplicación en el supuesto de alquiler de inmueble de uso residencial con renta limitada por una norma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Se introduce un nuevo apartado sexto en el artículo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ayuntamientos mediante ordenanza fiscal podrán establecer una bonificación de hasta el 95 por 100 en la cuota íntegra del impuesto para los bienes inmuebles de uso residencial destinados a alquiler de vivienda con renta limitada por una norma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quinto. Modificación del texto refundido de la Ley del Impuesto sobre Transmisiones Patrimoniales y Actos Jurídicos Documentados, aprobado por el Real Decreto Legislativo 1/1993, de 24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un apartado vigesimosexto en el artículo 45.I B) del texto refundido de la Ley del Impuesto sobre Transmisiones Patrimoniales y Actos Jurídicos Documentados, aprobado por el Real Decreto Legislativo 1/1993, de 24 de septiembre,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Los arrendamientos de vivienda para uso estable y permanente a los que se refiere el artículo 2 de la Ley 29/1994, de 24 de noviembre, de Arrendamientos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entender de los recurrentes, se trata de modificaciones que afectan al “régimen general” o a los “elementos esenciales” de dos impuestos que ocupan una “posición central” en el sistema tributario, de modo que están vedadas al decreto-ley de acuerdo con el art. 86.1, citando al efecto la STC 73/2017, de 8 de junio, sobre el Real Decreto-ley 12/2012, de 30 de marzo, por el que se introducen diversas medidas tributarias y administrativas dirigidas a la reducción del déficit público (“amnistía fiscal”). En cambio, el abogado del Estado argumenta que no se ha utilizado el decreto-ley para “establecer, crear o implantar un nuevo tributo, ni [para] determinar los elementos esenciales del mismo” teniendo en cuenta la doctrina constitucional sobre la materia que no veda cualquier regulación tributaria 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introducidas suponen, en primer lugar, exceptuar de la obligación de repercutir la cuota del impuesto sobre bienes inmuebles (IBI) a los entes públicos cuando sean arrendadores de una vivienda en régimen de renta limitada; en segundo lugar, habilitar a los entes locales a establecer una bonificación del 95 por 100 del mismo impuesto para bienes inmuebles destinados a alquiler con renta limitada; y en tercer lugar, declarar exentos del impuesto sobre transmisiones patrimoniales y actos jurídicos documentados (ITP), en sus tres modalidades, a los arrendamientos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el decreto-ley no tiene vedada cualquier modificación que afecte a normas tributarias, sino solamente aquellas “que, por su entidad cualitativa o cuantitativa, altere[n] sensiblemente la posición del obligado a contribuir según su capacidad económica en el conjunto del sistema tributario”, para lo cual “es preciso tener en cuenta, en cada caso,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 (STC 73/2017, citada por los recurrentes,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sentencias dictadas hasta la fecha, este Tribunal ha considerado vedadas las modificaciones “sustanciales” del impuesto sobre la renta de las personas físicas (IRPF), por tratarse de “uno de los pilares estructurales de nuestro sistema tributario” [SSTC 182/1997, de 28 de octubre, FJ 9; 189/2005, de 7 de julio, FJ 8, y 19/2012, de 15 de febrero, FJ 3 d), entre otras]. La STC 73/2017, FFJJ 3 y 4, ha extendido esta doctrina, además de al IRPF, al impuesto sobre sociedades) y al impuesto sobre la renta de no residentes como “apéndice” o “complemento” de los anteriores. En cambio, hemos declarado que no conculca los límites del art. 86.1 CE la modificación por real decreto-ley del tipo de gravamen de impuestos especiales sobre el consumo, puesto que estos impuestos, “lejos de configurarse [cada uno de ellos] como un tributo global sobre la renta o sobre el consumo, grava una específica manifestación de capacidad económica”, de modo que esa modificación parcial “no ha provocado un cambio sustancial de la posición de los ciudadanos en el conjunto del sistema tributario” (STC 137/2003, de 3 de julio, FJ 7, para el impuesto sobre determinados medios de transporte, y STC 108/2004, de 30 de junio, FJ 8, para el impuesto especial sobre el alcohol y bebidas derivadas). De la misma manera, hemos considerado que tampoco vulnera los límites del art. 86.1 CE la reducción de la base imponible para determinadas adquisiciones gravadas por el impuesto de sucesiones y donaciones, que “a diferencia del impuesto sobre la renta de las personas físicas, no se configura como un tributo global sobre la renta o sobre el consumo, sino que se limita a gravar una manifestación concreta de capacidad económica”, al no poderse afirmar que “repercuta sensiblemente en el criterio de reparto de la carga tributaria entre los contribuyentes” (STC 189/2005, de 7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 cuando se aceptara que el impuesto sobre bienes inmuebles y el impuesto sobre transmisiones patrimoniales y actos jurídicos documentados son, como el IRPF, impuesto sobre sociedades e impuesto sobre la renta de no residentes, pilares estructurales del sistema tributario, las modificaciones efectuadas en los mismos por los preceptos impugnados no son de alcance general, ni alteran sustancialmente la posición de los contribuyentes frente a esos impuestos ni en el conjunto del sistema tributario, sino que se limitan a introducir correcciones parciales en la forma de tributar operaciones singulares de entre las muchas que quedan sujetas a los impuestos afectados, que son concretamente aquellas que se quieren proteger por el real decreto-ley: el alquiler de viviendas. Y en el caso del IBI, además, no todas ellas, sino solo las de renta limitada.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no puede trasladarse a este supuesto la doctrina establecida para elevaciones del tipo de gravamen del IRPF (STC 182/1997), o de su base imponible (STC 189/2005), o para regularizaciones extraordinarias, a tipo reducido y sin recargos ni sanciones, de los impuestos sobre la renta de personas físicas y jurídicas señalados (STC 73/2017).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por tanto, debe ser desestimado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en parte el presente recurso de inconstitucionalidad y, en su virtud, declarar inconstitucionales y nulos los siguientes preceptos del Real Decreto-ley 7/2019, de 1 de marzo, de medidas urgentes en materia de vivienda y alquiler: la disposición adicional primera y la disposición adicional tercera.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