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3542-2019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Denegar la suspensión cautelar solicitada del procedimiento de ejecución hipotecaria núm. 293-2018,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junio de 2019, la entidad Euroinversiones Inmobiliarias Costa Sur, S.L., representada por la procuradora de los tribunales doña Blanca Berriatua Horta y bajo la dirección del letrado don Marcelino Gilabert García, interpuso recurso de amparo contra los autos de 21 de septiembre de 2018 y 23 de abril de 2019, dictados por el Juzgado de Primera Instancia e Instrucción núm. 5 de Lorca, en el procedimiento de ejecución hipotecaria núm. 293-2018, por los que, respectivamente, se inadmite por extemporánea la demanda de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293-2018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43.292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9 de mayo de 2018 se acordó despachar ejecución frente las sociedades demandadas por la cantidad de 2.604,39 € de principal y 2.400 € como intereses y costas presupuestados. El citado auto y el decreto de la misma fecha que le sigue fueron comunicados a las citadas sociedades a través de la sede judicial electrónica el día 11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10 de julio de 2018. Por auto de 21 de septiembre de 2018 se acordó su inadmisión por considerar la pretensión extemporánea, tomando como fecha de notificación el 11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11 de mayo de 2018, sino el 26 de junio siguiente, fecha en la que accedió a la web y procedió a su descarga, y que la comunicación remitida a través de la dirección electrónica habilitada no puede entenderse más que un aviso de puesta a disposición o descarga de su contenido durante un plazo determinado (en el caso desde el 11 de mayo hasta el 26 de junio de 2018), pues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23 de abril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373.3 LEC. Según el auto, en el presente caso “consta que la notificación se puso a disposición de las recurrentes en fecha 11 de mayo de 2018, no accediendo al contenido hasta el día 26 de junio de 2018 (fuera de los tres días que establece la normativa procesal), presentando los escritos de oposición a la ejecución en fecha 10 de julio de 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septiembre de 2019 la Sección Primera de este Tribunal acordó admitir a trámite el recurso de amparo y dirigir comunicación al Juzgado de Primera Instancia e Instrucción núm. 5 de Lorca, a fin de que, en plazo que no exceda de diez días, remitiera certificación o fotocopia adverada de las actuaciones correspondientes a los autos de ejecución hipotecaria y emplazara por el mismo plazo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4 de octubre de 2019 la parte demandante formuló sus alegaciones, reiterando lo expuesto en el otrosí de su demanda y trascribiendo como fundamento de su pretensión lo expresado en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17 de octubre de 2019, el ministerio fiscal se opuso a la pretendida suspensión del procedimiento de ejecución hipotecaria, e interesó que, alternativamente, se acuerde la anotación preventiva de la demanda de amparo en el registro de la propiedad, aunque esta última medida no haya sido solicitada en el recurso. Tras exponer la doctrina de este Tribunal sobre suspensión de resoluciones y actos impugnados, aduce que en el presente caso el demandante no explicita razón alguna que permita afirmar que la continuación del procedimiento judicial, incluso con desplazamiento posesorio, provoque un perjuicio determinante de la pérdida de finalidad del recurso de amparo; por lo que resultando más eficaz la anotación preventiva de la demanda en el registro de la propiedad, pues a través de dicha medida cautelar es posible evitar que un hipotético tercer adquirente del inmueble hipotecado, en virtud de su buena fe registral, quede especialmente protegido, perjudicando así los intereses concernidos.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293-2018,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(AATC 81/2019, de 15 de julio; 148/2019, 150/2019, 155/2019 y 156/2019, de 25 de noviembre),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al solicitarse el amparo el procedimiento se encontraba en la fase inicial, una vez rechazada la oposición a la ejecución. En tales circunstancias no es posible afirmar que la continuación del curso del procedimiento judicial, incluso si se produjera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81/2019, de 15 de julio; 148/2019, 150/2019, 155/2019 y 156/2019, de 25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Denegar la suspensión cautelar solicitada del procedimiento de ejecución hipotecaria núm. 293-2018,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