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6510-2018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692-2013 seguido en Juzgado de Primera Instancia núm. 6 de Móstoles.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Luz Aurora Cuya Ayala, representada por la procuradora de los tribunales doña Paloma Izquierdo Labrada, con asistencia letrada de doña Ana María Muñoz del Reino, solicita la suspensión del proceso de ejecución hipotecaria núm. 692-2013 tramitado por el Juzgado de Primera Instancia núm. 6 de Móstoles. Lo hace por otrosí en el escrito de 23 de mayo de 2019 por el que interpone recurso de amparo contra el auto de 28 de noviembre de 2018 recaído en aquel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núm. 6 de Móstoles se sigue procedimiento de ejecución hipotecaria núm. 692-2013 promovido por la entidad Catalunya Bank, S.A., frente a la demandante de amparo en relación con fincas situadas en las localidades de Humanes y Móstoles.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escrito de 21 de noviembre de 2013, la recurrente en amparo formula oposición a la demanda ejecutiva invocando error en la determinación de la cantidad exigible y la nulidad por abusiva de la cláusula undécima del título ejecutivo, conocida como “pacto de liquidez”. La oposición fue desestimada por auto de 17 de marzo de 2014. Fue igualmente rechazada la solicitud de anulación de otras cláusulas mediante providencias de 9 de abril de 2015, 28 de abril de 2016, 23 de mayo de 2016 y 24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Despachada la ejecución y adjudicadas en pública subasta las indicadas fincas, mediante escrito de 27 de septiembre de 2018, la recurrente solicita la suspensión del procedimiento. Habría de esperarse a que el Tribunal de Justicia de la Unión Europea dicte sentencia en varias cuestiones prejudiciales, entre ellas, la correspondiente al asunto C-70/17 planteada por el Tribunal Supremo en relación con la cláusula de vencimiento anticipado.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rechaza la suspensión solicitada mediante providencia de 1 de octubre de 2018. Razona que la parte solicitante ya invocó la existencia de cláusulas abusivas formulando la correspondiente oposición, ya resuelta mediante resoluciones firmes.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Interpuesto recurso de reposición es desestimado por auto de 28 de noviembre de 2018, que confirma la providencia recurrida y sus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escrito de 23 de mayo de 2019, la recurrente formula demanda de amparo contra la providencia de 1 de octubre de 2018 y el auto del 28 de noviembre del mismo año por entender que han vulnerado su derecho fundamental a la tutela judicial efectiva (art. 24.1 CE), en relación con el principio de primacía del Derecho europeo (art. 91.6 CE), la protección de los consumidores (art. 51 CE) y otros preceptos de la Constitución Española (arts. 9 y 14) y del Convenio europeo de derechos humanos (arts. 6, 13 y 14). Tal derecho fundamental se concretaría, en el caso del presente procedimiento hipotecario, en el derecho a un pronunciamiento expreso sobre las cláusulas de carácter esencial, a tenor del cambio jurisprudencial que las ha declarado abusivas; la sentencia del Tribunal de Justicia de la Unión Europea de 26 de enero de 2017 (asunto C-421/14) habría dejado clara e indubitada la nulidad de la cláusula de vencimiento anticipado. En el presente caso, habría faltado ese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solicitud de suspensión hallaría fundamento, de acuerdo con lo afirmado por la recurrente, manifestado por otro sí en la demanda de amparo, en la necesidad de evitar daños y perjuicios de imposible o difícil reparación, así como la pérdida de la finalidad de la presente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providencias de 19 de octubre de 2020, la Sección Segunda del Tribunal Constitucional admite a trámite la demanda de amparo, ordena la formación de la correspondiente pieza separada de suspensión y concede plazo de tres días al Ministerio Fiscal y al solicitante de amparo para que aleguen lo que estimen pertinente respecto de la medida cautelar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27 de octubre de 2020, la demandante se remite a lo manifestado por otrosí en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5 de noviembre de 2020, el Ministerio Fiscal considera rechazable la petición de suspensión por no estar mínimamente fundamentada. Ahora bien, considera procedente acordar la anotación de la demanda, por ser una medida más eficaz para conseguir la protección deseada por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la parte recurrente en amparo y dirigida frente al procedimiento de ejecución hipotecaria núm. 692-2013 seguido en Juzgado de Primera Instancia núm. 6 de Móstoles.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La suspensión no podrá pues ocasionar perturbación grave alguna sobre un interés constitucionalmente protegido o los derechos fundamentales o libertades de otra persona. Por esta razón se configura como una medida de carácter excepcional y de aplicación restrictiva (por todos, AATC 117/2015, de 6 de julio, FJ 1, y 59/2017, de 24 de abril, FJ 1).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Debe mostrar que la ejecución del acto recurrido puede privar a la demanda de amparo de su finalidad, provocando que el restablecimiento del recurrente en el derecho constitucional vulnerado sea tardío y convirtiendo en meramente ilusorio y nominal el amparo impetrado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se limita a formular la solicitud de suspensión del procedimiento de ejecución hipotecaria sin añadir motivo alguno que la sustente.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entiende, por el contrario, que las circunstancias que presenta el supuesto sometido a consideración llevan a estimar la procedencia de acordar, de modo alternativo, la medida cautelar de anotación preventiva de la demanda de amparo en el registro de la propiedad en cuanto la reputa medida idónea para evitar el perjuicio derivado de que la adquisición del bien por tercero lo haga irreivindicable. Esta ha sido la solución acogida recientemente, para otros casos, en los AATC 75/2019 y 76/2019, ambos de 15 de julio,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188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192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692-2013 seguido en Juzgado de Primera Instancia núm. 6 de Móstoles.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