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958-2002, promovido por don Pablo Muriel Urdinguio, representado por el Procurador de los Tribunales don Antonio Piña Ramírez y bajo la dirección de la Letrada doña Paloma Hidalgo Icaza, contra la Sentencia de la Sección Decimoséptima de la Audiencia Provincial de Madrid de 5 de diciembre de 2001, recaída en el rollo de apelación núm. 379-2001, que estima el recurso de apelación interpuesto contra la Sentencia del Juzgado de Instrucción núm. 6 de Madrid de 27 de abril de 2001, recaída en juicio de faltas núm. 325-2001, sobre faltas de maltrato de obra, amenazas y contra la propiedad.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21 de febrero de 2002, el Procurador de los Tribunales don Antonio Piña Ramírez, en nombre y representación de don Pablo Muriel Urdinguio, y bajo la dirección de la Letrada doña Paloma Hidalgo Icaza,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Instrucción núm. 6 de Madrid de 27 de abril de 2001 de las faltas de maltrato de obra, amenazas y contra la propiedad de las que fue acusado por el Ministerio Fiscal y su esposa, considerando que los hechos relatados en la denuncia no habían quedado acreditados por los diversos testimonios vertidos en la vista del juicio de faltas.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la absolución por las faltas de maltrato de obra y amenazas, fundamentado en errónea apreciación de la prueba, que fue estimado, sin celebración de vista, por Sentencia de la Sección Decimoséptima de la Audiencia Provincial de Madrid de 5 de diciembre de 2001, condenando al recurrente como autor de ambas faltas a sendas multas de 20 y 30 días con una cuota diaria de 200 pesetas y a permanecer alejado de la denunciante durante un plazo de seis meses. La Sentencia de apelación, modificando la declaración de hechos probados de la Sentencia apelada, consideró acreditado que el acusado desde la firma del convenio regulador de su separación matrimonial había estado amenazando a la denunciante directamente o por teléfono con expresiones del tipo de "te voy hacer desparecer del mapa" o "te voy a dar de hostias" y que el día 29 de enero de 2001 cuando acudió al domicilio de la denunciante a devolver a su hijo la empujó y tiró al suelo violentamente sin causarle ninguna lesión. La Sentencia fundamentó esta modificación en que si bien el juzgador no había dado credibilidad alguna a los testimonios de la denunciante y del testigo, otorgando una verosimilitud integral a la versión del denunciado, sin embargo, "queda probado que Pablo ha venido amenazando a Isabel ... por las siguientes razones 1) Isabel lo manifestó así tanto en el momento de la denuncia como en el del juicio. 2) lo corroboró su hermana también sin vacilaciones ni contradicciones de ningún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la vulneración del derecho a la presunción de inocencia (art. 24.2 CE) por haber sido condenado en segunda instancia, tras una previa absolución, con fundamento, exclusivamente, en una nueva valoración sobre la credibilidad de pruebas testificales que no habían sido practicadas con la debida inmediación ante el órgano judicial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9 de junio de 2003,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trámites oportunos, se dictó por la Sala Primera de este Tribunal el ATC 247/2003, de 14 de julio, acordando denegar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11 de julio de 2003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1 de septiembre de 2003, presentó alegaciones en las que reitera en esencia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24 de julio de 2003, interesó el otorgamiento del amparo, por vulneración de los derechos a un proceso con todas las garantías y a la presunción de inocencia, y la anulación de la Sentencia recurrida, argumentando que la condena se ha producido en la segunda instancia, tras una absolución previa, revisando y corrigiendo la valoración realizada por el órgano judicial de primera instancia de pruebas testificales sin observar los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27 de enero de 2005, se señaló para deliberación y fallo de la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del derecho a la presunción de inocencia (art. 24.2 CE), plantea de nuevo ante este Tribunal la cuestión de las condenas en segunda instancia, tras la revocación de una previa absolución, fundamentadas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Es jurisprudencia ya reiterada de este Tribunal, iniciada en la STC 167/2002, de 18 de septiembre (FFJJ 9 a 11) y seguida en numerosas Sentencias posteriores (entre las últimas, SSTC 192/2004, de 2 de noviembre; o 200/2004, de 15 de noviembre),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actuaciones evidencian que la única actividad probatoria desarrollada en la vista del juicio de faltas fueron pruebas de carácter personal (declaraciones de la denunciante y del denunciado y de un testigo); que la Sentencia del Juzgado de Instrucción absolvió al recurrente, conforme al principio de presunción de inocencia, al considerar que los hechos denunciados no habían quedado acreditados por los diversos testimonios vertidos en la vista del juicio de faltas; que el Ministerio Fiscal recurrió dicha absolución con fundamento exclusivo en errónea valoración de las pruebas personales practicadas; y, por último, que en la Sentencia de apelación, sin celebración de vista ni práctica de prueba en la segunda instancia, se condenó al recurrente como autor de sendas faltas de maltrato de obra y amenazas, modificando el relato de hechos probados, basándose sólo en el examen de los testimonios prestados en la primera instancia reflejados en el acta del juicio de faltas.</w:t>
      </w:r>
    </w:p>
    <w:p w:rsidRPr="00C21FFE" w:rsidR="00F31FAF" w:rsidRDefault="00356547">
      <w:pPr>
        <w:rPr/>
      </w:pPr>
      <w:r w:rsidRPr="&lt;w:rPr xmlns:w=&quot;http://schemas.openxmlformats.org/wordprocessingml/2006/main&quot;&gt;&lt;w:lang w:val=&quot;es-ES_tradnl&quot; /&gt;&lt;/w:rPr&gt;">
        <w:rPr/>
        <w:t xml:space="preserve">Por tanto, toda vez que es manifiesto que el órgano judicial de apelación fundamentó la condena en una nueva valoración de las pruebas testificales con infracción de los principios de inmediación y contradicción y que las únicas pruebas de cargo eran los mencionados testimonios, debe otorgarse el amparo por vulneración de los derechos a un proceso con todas las garantías y a la presunción de inocencia, cuyo restablecimiento determina la anulación de la Sentencia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Pablo Muriel Urdinguio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Decimoséptima de la Audiencia Provincial de Madrid de 5 de diciembre de 2001, recaída en el rollo de apelación 379-2001.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