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13 de agosto de 1986 se registró en este Tribunal escrito mediante el cual don José Alberto Azpeitia Sánchez, en nombre y representación de doña Manuela Tejada Sánchez, interpuso recurso de amparo constitucional frente a la Sentencia de 15 de julio de 1986 de la Sala Quinta del Tribunal Supremo, dictada en recurso contencioso-administrativo en impugnación de Acuerdos del Consejo Supremo de Justicia Militar de 27 de febrero y 29 de mayo de 1985, denegatorios de pensión de viudedad, por presunta vulneración de derechos reconocidos en los arts. 14 y 16.1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solicitante de amparo ha convivido durante cuarenta y siete años con don Florencio Torrego que fue Coronel del Ejército retirado y que falleció el 2 de febrero de 1984, en cuyo momento se hallaba pendiente de Sentencia definitiva el matrimonio de éste con doña Elena Alonso Elola en el procedimiento de apelación de Sentencia declaratoria de la nulidad canónica del vínculo matrimonial.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Al fallecimiento del Sr. Torrego, la demandante de amparo solicitó pensión de viudedad por haber convivido durante casi cuarenta y siete años con dicho señor, solicitud que fue denegada por Acuerdo de la Sala de Gobierno del Consejo Supremo de Justicia Militar de 27 de febrero de 1985, al igual que lo fuera el recurso de reposición interpuesto frente a aquél, desestimado el 29 de mayo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estos Acuerdos la solicitante de amparo interpuso recurso contencioso-administrativo ante la Sala Quinta del Tribunal Supremo siendo desestimado por Sentencia de 15 de febrero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puede exponerse como sigue: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Constitución protege a la familia en su art. 39 sin limitar esta protección a las basadas en uniones matrimoniales. De este derecho a la protección familiar se deriva el derecho a obtener una pensión de viudedad para quienes hayan convivido maritalmente, sin estar casados, derecho éste que no puede verse frustrado por la «oscuridad redaccional» del art. 53.3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limitación de la pensión de viudedad a los supuestos de uniones matrimoniales supone una discriminación para las uniones extramatrimoniales, la cual se encuentra vedada por el art. 14 de la Constitución al prohibir cualquier discriminación basada en una circunstancia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supeditación de la percepción de la pensión de viudedad a que el causante fallezca en estado de casado supone una vulneración del derecho a la libertad ideológica reconocido en el art. 16.1, al obligar a contraer matrimonio a cualquier pareja que mantenga una unión de hecho, so pena de verse privadas de la percepción de la pensión de viudedad.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suplico de la demanda se solicita la declaración de nulidad de la Sentencia de la Sala Quinta del Tribunal Supremo de 15 de julio de 1986, así como el reconocimiento del derecho a la protección económica por viudedad en plena igualdad de trato.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5 de noviembre de 1986, acordó poner de manifiesto la posible existencia de las causas de inadmisibilidad del art. 50.2 a) de la Ley Orgánica del Tribunal Constitucional, por deducirse la demanda respecto de derechos no susceptibles de amparo constitucional y la del 50.2 b), por falta de contenido constitucional de la demanda, otorgando un plazo común de diez días a la solicitante de amparo y al Ministerio Fiscal para la formulación de alegaciones. La solicitante dice en su escrito de alegaciones que en su demanda se afirma que son los arts. 14 y 16 de la Constitución los que infringe la Sentencia recurrida, y que la invocación del art. 39 se hizo sólo en apoyo para mostrar la alegada discriminación. Insiste en que se justifica plenamente el pronunciamiento y la concesión de amparo, por afectar el contenido de la demanda a principio de igualdad y a la libertad ideológica en relación con el derecho a contraer matrimonio. El Ministerio Fiscal sostiene que el recurso debe quedar limitado a la invocación de los derechos de igualdad y libertad ideológica sin que pueda entrarse a examinar la infracción del art. 39 de la Constitución. La desigualdad que se dice cometida no está razonada ni expuesta con la menor consistencia, parece como si la desigualdad estuviera en la aplicación de la ley, cuando es ésta la que excluye el derecho a la pensión respecto a la persona no casada. Además la Constitución no impone un tratamiento igual de las relaciones extramatrimoniales con las surgidas del matrimonio. Carece de fundamento la alegación del art. 16, pues las leyes son de aplicación general y la reserva mental sobre las mismas -éticamente admisible- no puede suponer que, como aquí se pretende, los supuestos que reconoce se extiendan a quien no la ha observado. Solicita por ello la inadmisión del recurso por falta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pone su acento en «el derecho a la protección a la familia», mediante la cita de art. 39 de la Constitución.  En este aspecto la demanda se contrae a derechos no susceptibles de amparo constituciónal, como pusimos de manifiesto en la providencia que abrió el presente trámite de inadmisión. Aunque la solicitante de amparo sostiene que ello se hizo para apoyar la discriminación alegada, lo cierto es que la invocación de dicho precepto constitucional junto con el art. 14 no nos puede permitir la consideración del derecho a la protección estatal a la familia.  Ello significa que el recurso debe quedar limitado, como nos solicita el Ministerio Fiscal, tan solo a la invocación de los derechos de igualdad y libertad ideológica, sin entrar a examinar la presunta infracción del art. 39 de la Constitución.  Según la solicitante de amparo, la limitación de la percepción de la pensión de viudedad a quienes estuvieron unidos por el vínculo matrimonial, supondría una discriminación basada en una circunstancia social, cual sería la propia de quienes mantienen una unión de hecho, no matrimonial, respecto de las parejas unidas en matrimonio, discriminación vedada por el art. 14 de la Constitución. Sin embargo, esta alegacion carece de fundamento, por un doble orden de consideraciones. En primer lugar, el matrimoonio y la convivencia extramatrimonial no son situaciones equivalentes, siendo posible, por ello, que el legislador dentro de su amplísima libertad de decisión, deduzca razonablemente consecuencias de la diferente situación de partida, y ello también respecto a las pensiones de viudedad, como confirma de otro lado el propio contenido de los convenios internacionales que garantizan pensiones de Seguridad Social exclusivamente para las «viudas» a cargo del cónyuge. A partir de esta regulación internacional cabe concluir que la regulación española de las pensiones de viudedad no viene a transgredir el límite de lo razonable desde la perspectiva del primer inciso del artículo 14 de nuestra Constitución.  Por otro lado, tampoco cabe estimar que la legislación de clases pasivas contenga una discriminación en función de una «circunstancia social», que trate de «victimizar» y excluir socialmente a las parejas que no hayan contraído matrimonio.  Por lo que tampoco habría de encontrar aplicación aquí la referencia a «circunstancia social» incluida en el segundo inciso del art. 14 de la Constitución, puesto que lo contrario sería afirmar que de este precepto deriva la parificación de trato en todos los aspectos y en todos los órdenes, de los derechos y deberes de las parejas que hubieran o no contraído matrimonio, lo cual en modo alguno puede deducirse del Texto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segundo de los derechos fundamentales, cuya presunta vulneración denuncia la solicitante de amparo es el de libertad ideológica reconocida en el art. 16.1 de la Constitución. Para ella la supeditación de la percepción de la pensión de viudedad al estado divil de casado supone una coacción a las convicciones ideológicas de los ciudadanos convirtiendo el derecho al matrimonio en un «deber» al matrimonio, para todas aquellas parejas que conviven en una unión de hecho, si desean ser en su momento beneficiarias de una pensión de viudedad.  La libertad de opción entre el estado civil de casado o el de soltero es uno de los derechos fundamentales más intimamente vinculados al libre desarrollo de la personalidad, considerado por la Constitución fundamento del orden público y de la paz social (art. 10.1 de la Constitución). Este derecho o libertad fundamental es un derecho en sí mismo considerado, reconocido por la Constitución en su art. 32.1, tanto en sentido positivo como negativo, de tal modo que el Estado no puede imponer un determinado estado civil. En cuanto derecho fundamental autónomo, no necesita ser subsumido en ningún otro derecho fundamental, en particular en el derecho a la libertad ideológica, con el que sólo muestra delimitados puntos de contacto. Pero aun admitiendo esta subsunción de la «libertad negativa» al matrimoinio en el art. 16.1 de la Constitución a efectos de su amparo constitucional, parece claro que nada tiene que ver este derecho con la percepción de una pensión de viudedad o, dicho de otro modo, el contenido del derecho a no contraer matrimonio no incluye el derecho a un sistema estatal de previsión social que cubra el riesgo del fallecimiento de una de las partes integrantes de las uniones de hecho.  En resumen, la inconsistencia de la alegación de vulneración de la libertad ideológica es lo suficientemente patente como para considerar a la presente demanda incursa en la causa de inadmisibilidad prevista en el art. 50.2 b) de la Ley Orgánica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