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Ignacio Avila del Hierro, Procurador de los Tribunales, en nombre y representación de don Francisco Gómez Peña, por medio de escrito presentado el 16 de enero de 1988, interpone recurso de amparo contra Sentencia del Juzgado de Instrucción núm. 1 de Fuengirola dictada en las diligencias 148/1986, y contra la de la Audiencia Provincial de Málaga, Sección Tercera, recaída en el rollo de apelación núm. 114/1987.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fue detenido el 20 de marzo de 1985 imputándosele la existencia de alcoholemia, sin que se le hubiera tenido en cuenta todos y cada uno de los elementos objetivos de prueba obrantes en las actuaciones que evidencian la indefensión que se le ha producido y la violación de un derecho fundamental, de no haberse cumplido correctamente con lo estipulado en la Orden de 17 de enero de 1974, sobre circulación urbana e interurbana del grado de impregnación alcohólica en conductores.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detención del vehículo que conducía el actor se produjo, según dice la demanda, como consecuencia de que su matrícula era de Bilbao, lo que era justificable dada la situación de terrorismo y especialmente por la extrañeza de su ubicación en la Costa del Sol, que en aquella fecha estaba siendo sacudida por diversos atentados. Así se reconoció por los testigos, Policías nacionales, que depusieron en el juicio, por lo que no cabe hablar de que la gran velocidad fuera determinante de la detención.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También se reconoció por dichos testigos que autorizaron e incluso ordenaron al recurrente que continuase conduciendo su vehículo hasta que localizaron un coche patrulla de la Guardia Civil de Tráfico, a un kilómetro aproximadamente, en el que practicó la prueba de alcoholemia por medio del aire expirado.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Estando el demandante de amparo disconforme con el resultado de dicha prueba, exigió se procediera a la extracción de sangre, con el fin de demostrar que el aparato alcohómetro estaba en mal estado. Después de mucha insistencia consiguió fuera trasladado desde la Comisaría de Policía de Torremolinos al Hospital Civil de Málaga, para lo cual tuvo que recorrer una distancia de 40 kilómetros. En dicho centro sanitario se manifestó al recurrente por el facultativo de guardia que en el mismo no existían medios para determinar el alcohol en sangre. Y a pesar de que solicitó la práctica de la prueba en otro centro de los muchos que existen en Málaga o Torremolinos, le fue negada tal posibilidad, sin que conozca la razón de dicha negativa, y sin que los Tribunales hayan tenido en cuenta esta circunstancia.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indefensión contraria al derecho reconocido en el art. 24, en relación con el art. 14, ambos de la Constitución, y solicita la nulidad de las Sentencias dictadas por el Juzgado de Instrucción núm. 1 de Fuengirola en el expediente Ley Orgánica núm. 148/1986 y por la Audiencia Provincial de Málaga en el rollo de apelación núm. 114/1987, por ser ambas resoluciones constitutivas de infracción constitucional, reconociendo expresamente el derecho del recurrente a exigir y a que se dé cumplimiento con lo prevenido en los núms. 2 y 3 de la Orden de 17 de enero de 1974 sobre investigación del grado de impregnación alcohólica en conductores. Por medio de otrosí, solicita también la suspensión de la ejecución de la Sentencia, al amparo del art. 56 LOTC, por el perjuicio que representa para el recurrente verse privado del permiso de conducir.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Presentadas por el recurrente las copias de las Sentencias impugnadas, dentro del plazo concedido al efecto, por providencia de 15 de marzo de 1988, con carácter previo a decidir sobre admisión o inadmisión del recurso, se requirió a la Audiencia Provincial de Málaga y al Juzgado de Instrucción núm. 1 de Fuengirola para que en el plazo de diez días remitiesen, respectivamente, testimonio de la apelación núm. 114/1987 y diligencias de la Ley Orgánica 10/1980, núm. 148/1986. 5. Por providencia de 6 de junio de 1988, la Sección Cuarta de la Sala Segunda de este Tribunal Constitucional acordó tener por recibidas las actuaciones remitidas por la Audiencia de Málaga y el Juzgado de Instrucción núm. 1 de Fuengirola. Al mismo tiempo, se concede un plazo común de diez días al Ministerio Fiscal y al recurrente en amparo para que dentro de dicho término aleguen lo que estimen pertinente en relación con el motivo de inadmisión de carecer la demanda manifiestamente de contenido que justifique una decisión por parte de este Tribunal Constitucional, conforme previene el art. 50.2 b) de la LOTC. 6. El Fiscal, en escrito presentado el 22 de junio de 1988, hace constar que no sólo se ha producido la condena por la prueba del alcohol, sino que, además, se tuvieron en cuenta las declaraciones testificales de los Policías que presenciaron la conducción, declaraciones inculpatorias, tanto las prestadas en el atestado, como las repetidas ante la autoridad judicial y después en el juicio oral, por lo que solicita la inadmisión del recurso. 7. Don Juan Ignacio Avila del Hierro, en nombre y representación de don Francisco Gómez Peña, en escrito presentado el 22 de junio de 1988, reitera sus alegaciones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demanda señala como fundamento de su pretensión de amparo la indefensión producida por la infracción de la Orden de 17 de enero de 1974 sobre investigación de la impregnación alcohólica en conductores, al no haber sido sometido a una segunda prueba de análisis, previa extracción de sangre, citando al efecto el art. 24, en relación con el 14, de la Constitución, el adecuado planteamiento, desde el punto de vista del recurso de amparo, debe hacerse en torno al tema de si, a pesar de la omisión denunciada, se respetó por las Sentencias condenatorias el derecho a la presunción de inocencia (art. 24.2), porque es evidente que el incumplimiento de la indicada norma reglamentaria no constituye por sí solo indefensión constitucionalmente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condición probatoria del «test» de alcoholemia, desde el punto de vista constitucional, se ha pronunciado este Tribunal en diversas ocasiones (SSTC 100/1985, 103/1985, 107/1985, 145/1985, 148/185 y 145/1987). En ellas se parte de la premisa, contenida en la propia jurisprudencia constitucional, del valor de denuncia del atestado y no prueba, y de que para que se convierta en auténtico elemento probatorio en el proceso no basta con que se dé por reproducido en el juicio oral, sino que es preciso que sea reiterado y rectificado ante el órgano judicial, normalmente mediante la declaración testifical de los agentes de policía firmantes del atestado. La falta de carácter probatorio del atestado no ratificado deriva del art. 297 de la Ley de Enjuiciamiento Criminal, no desvirtuado por otros preceptos legales, que sólo admiten el valor de ciertas diligencias preparatorias o sumariales como pruebas anticipadas, anteriores a las que se practiquen en el juicio oral (art. 730 L.E.Cr., art. 8 L.O. 10/1980, de 11 de noviembre).  La conclusión anterior se matiza en los casos en que en el atestado y en las diligencias policiales no se producen simples declaraciones de los inculpados o de los testigos, sino que se practica una prueba a la que puede asignarse lato sensu un carácter pericial, cuando concurre además la circunstancia de la imposibilidad de su repetición posterior. En este caso, aun dejando claro que el atestado debe ser en el correspondiente juicio ratificado por los agentes que lo hayan levantado, hay que atribuir a su contenido no sólo el valor de la denuncia para llevar a cabo nuevas actividades probatorias, sino un alcance probatorio por si mismo siempre que haya sido practicada la prueba pericial preconstituida con las garantías necesarias.  Asi pues, la prueba de alcoholemia merece, en principio, la consideración de prueba pericial preconstituida, pues en modo alguno puede considerarse inconstitucional su previsión normativa tendente a determinar el grado de alcohol en sangre de los conductores de vehículos de motor (ATC 63/1983); y ello sin perjuicio de que la forma de realización presente aspectos de relevancia constitucional (ATC 37/1984 y STC 107/1985); incluso el deber de someterse al control de alcoholemia no puede considerarse contrario al derecho a no declarar contra si mismo y a no confesarse culpable, pues no obliga al detectado a emitir una declaración que exteriorice un contenido, admitiendo su culpabilidad, sino a tolerar que se le haga objeto de una especial modalidad de pericia, exigiéndosele una colaboración no equiparable a la declaración comprendida en el ámbito de los derechos proclamados en los arts. 17.3 y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peculiaridad del «test» de alcoholemia que produce un resultado objetivo no le dota, sin embargo, automáticamente, de valor probatorio desde el punto de vista procesal. Es preciso que concurran dos exigencias: a) Que el interesado tenga conocimiento de cuanto puede contribuir a que dicha prueba se verifique con las máximas garantías. Y por ello debe informársele de las posibilidades que la reglamentación vigente ofrece respecto a la repetición de la prueba y a la realización de un análisis clínico en un centro sanitario.  b) La incorporación del correspondiente atestado de forma que resulten respetados, en la medida de lo posible, los principios de inmediación, oralidad y contradicción.  Por tanto, dada la naturaleza del «test» alcoholométrico y del delito previsto en el art.  340 bis a) 1.° del C. P., es necesario una actividad probatoria durante el proceso que permita contrastar su contenido, en cuanto a la finalidad del resultado del «test» y del valor de éste como elemento determinante del supuesto delictivo, que no consiste en la presencia de un determinado grado de impregnación alcohólica, sino en la conducción de un vehículo de motor bajo la influencia de bebidas alcohólicas.  Por ello, si alguno de dichos aspectos es cuestionado, la simple lectura o reproducción en el juicio oral del atestado en que consta el resultado del «test» alcoholométrico no puede por sí misma servir de fundamento a un fallo condenatorio.  Es preciso que en tales casos el «test» sea avalado o complementado en el curso del proceso para que pueda convertirse en prueba de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y conclusión, puede afirmarse que el «test» de alcoholemia puede resultar constitucionalmente lícito, pero su naturaleza de prueba pericial preconstituida y eficacia procesal está supeditada a su práctica correcta, con la información adecuada, normativamente establecida, y a la posibilidad de contraste de su resultado por otros elementos, singularmente la ratificación y complemento en el juicio oral de los agentes de policía. En otro caso, el correspondiente «test» carece por sí de entidad probatoria y, por tanto, de aptitud para desvirtuar la presunción de inocencia.  En el presente caso, no obstante, a la vista de las actuaciones y, concretamente, del acta del juicio oral celebrado el 27 de febrero de 1987, puede decirse que los órganos judiciales, con independencia del valor del «test» practicado, pudieron llegar al pronunciamiento condenatorio que formulan con base en la declaración de los Policías que como testigos deponen en dicho acto.  En efecto, en el acta se recogen sus manifestaciones en el sentido de que «el acusado conducía con riesgo para las personas y a gran velocidad, y por esta razón detuvieron al vehículo. Fueron amenazados por el acusado y les dio la impresión de que estaba bebido y conducía bajo la influencia del alcohol».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