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diciembre de 1997, el Procurador de los Tribunales don Carlos Zulueta Cebrián, en nombre y representación de la mercantil "CYDEPLAS, S. A.", interpuso recurso de amparo constitucional contra el Auto de la Sala Tercera del Tribunal Supremo de 14 de noviembre de 1997, que declaró la inadmisión del recurso de casación promovido contra la Sentencia de la Sala de lo Contencioso-Administrativo de la Audiencia Nacional, de 24 de marzo de 1997, que desestimó el recurso interpuesto contra la resolución del Tribunal Económico Administrativo Central, de 22 de abril de 1992, en reclamación sobre el Impuesto de la Renta de las Personas Físicas.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la recurrente la vulneración de sus derechos fundamentales a la utilización de los medios de prueba pertinentes (art. 24.2 C.E.) y a la tutela Judicial efectiva (art. 24.1 C.E.) que directamente imputa a la Sentencia dictada por la Audiencia Nacional porque, habiendo sido admitida a trámite la prueba propuesta y siendo ésta del todo relevante, según reconoce la propia Sentencia, sin embargo, desestimó la pretensión actora por no haber probado, precisamente aquella circunstancia (notoria reducción de las retribuciones variables) hacia la que se encaminaba la prueba admitida y no practicada.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Primera de 27 de septiembre de 1999, se admitió a trámite la demanda y se ordenó proceder a los preceptivos emplazamientos de cuantos hubiesen sido parte en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esa misma fecha, se acordó formar la presente pieza separada de suspensión y, conforme a lo dispuesto en el art. 56 LOTC, conceder al Ministerio Fiscal y a los solicitantes de amparo el plazo común de tres días para que formulen alegaciones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5 de octubre de 1999 los demandantes presentaron su escrito de alegaciones. Tras solicitar que se tengan por reproducidos los argumentos ya esgrimidos en el momento de solicitar la suspensión de la Sentencia impugnada, se añade que la suspensión no afectaría a intereses generales y que operaría como una verdadera garantía del contribuyente.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alegato el día 13 de octubre de 1999. Señala el Fiscal que la resolución judicial cuya suspensión se pretende posee exclusivamente efectos económicos, por lo que es de aplicación la constante doctrina del Tribunal Constitucional en el sentido de que debe prevalecer el interés general inherente a la ejecución de lo juzgado no siendo, en principio, susceptibles de suspensión aquellos actos o resoluciones que impliquen una condena pecuniaria o un efecto exclusivamente económico o patrimonial que, salvo supuestos excepcionales, debe presumirse reparable. Por ello mismo, interesa que se deniegue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sus alegaciones el día 21 de octubre de 1999. En su criterio no puede otorgarse la suspensión, porque no concurre ninguno de los supuestos previstos en el art. 56 LOTC. En efecto, el ingreso de la deuda tributaria no hace perder al amparo su finalidad (así AATC 357/1997 y 412/1997), ni se acredita por la entidad solicitante que el abono de la cantidad confirmada por la Sentencia -7.300.866- le ocasione un perjuicio de imposible reparación. Siendo ello así no procede otorgar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  Cuando la suspensión se solícita en relación con la ejecución de resoluciones judiciales firmes, es doctrina reiterada y constante de este Tribunal la que entiende que lo más acorde con el interés general es no acceder a la suspensión de su ejecución y, por ende, no enervar su cumplimiento, que dota de efectividad a la tutela judicial (art. 24.1 C.E.)  del litigante que obtuvo un pronunciamiento favorable a sus pretensiones (AATC 81/1981, 186/1998 y 284/1998, entre otros muchos). La protección del interés general que subyace a la ejecución de lo juzgado únicamente ha de ceder en aquellos supuestos en los que, de no acordarse la suspensión, el amparo perdería su finalidad, de lo que se infiere que, como criterio general, no procede suspender aquellos fallos judiciales que admiten la reparación o la restitución íntegra de lo ejecutado (AATC 17/1980, 141/1990, 212/1994 y 35/1996, entre otros) como ocurre, singularmente, en aquellas Sentencias cuya ejecución únicamente comporta un perjuicio de carácter estrictamente económico o patrimonial, siempre susceptible de ser indemnizado (AATC 130/1990, 149/1997 y 183/1998).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los anteriores criterios al asunto que ahora nos ocupa conduce a la denegación de la suspensión solicitada. En efecto, la entidad mercantil demandante de amparo no fundamenta su petición de suspensión en la existencia de alguna circunstancia que, vinculada a la ejecución de la resoluciones judiciales impugnadas y, particularmente, a la Sentencia dictada por la Sala de lo Contencioso-Administrativo de la Audiencia Nacional, pudiera generar "un perjuicio que haría perder al amparo su finalidad" (art.  56.1 LOTC). Antes bien, en la hipótesis de una eventual estimación de su demanda siempre podrían anularse aquellas resoluciones y procederse a la devolución de lo debidamente ingresado en concepto de deuda tributaría (por todos, ATC 412/1997). Siendo ello así, es claro que debe prevalecer el interés general consistente en la ejecución de lo juzgado, no siendo procedente la adopción de una medida cautelar como la suspensión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