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2266-2000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2.266/2000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del Auto del Pleno de la Sala de lo Penal de la Audiencia Nacional de 13 de marzo de 2000, que al resolver el recurso de súplica presentado, confirmó el Auto de 14 de septiembre de</w:t>
            </w:r>
          </w:p>
          <w:p w:rsidRPr="00D13423" w:rsidR="00AD51A7" w:rsidRDefault="00AD51A7">
            <w:pPr>
              <w:rPr/>
            </w:pPr>
            <w:r w:rsidRPr="&lt;w:rPr xmlns:w=&quot;http://schemas.openxmlformats.org/wordprocessingml/2006/main&quot;&gt;&lt;w:color w:val=&quot;800080&quot; /&gt;&lt;w:szCs w:val=&quot;24&quot; /&gt;&lt;/w:rPr&gt;">
              <w:rPr/>
              <w:t xml:space="preserve">1999, dictado por la Sección Primera de dicha Sala (rollo de Sala número 7/99), por los que se declaró procedente la extradición a la República de Italia del demandante de amparo en el expediente de extradición número 6/99, sin que la suspensión alcance</w:t>
            </w:r>
          </w:p>
          <w:p w:rsidRPr="00D13423" w:rsidR="00AD51A7" w:rsidRDefault="00AD51A7">
            <w:pPr>
              <w:rPr/>
            </w:pPr>
            <w:r w:rsidRPr="&lt;w:rPr xmlns:w=&quot;http://schemas.openxmlformats.org/wordprocessingml/2006/main&quot;&gt;&lt;w:color w:val=&quot;800080&quot; /&gt;&lt;w:szCs w:val=&quot;24&quot; /&gt;&lt;/w:rPr&gt;">
              <w:rPr/>
              <w:t xml:space="preserve">a las medidas cautelares relativas a la situación personal de recurrente, cuya adopción o mantenimiento 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abril de 2000, el Procurador don Luis José García Barrenechea, en nombre y representación de don Calogero Carlino, interpuso demanda de amparo contra el Auto del Pleno de la Sala de lo Penal de la Audiencia Nacional, de 13 de marzo de 2000 (dictado en el procedimiento de extradición número 6/1999), que desestimó la súplica intentada contra el dictado el 14 de septiembre de 1999, por la Sección Primera de la misma Audiencia, acordando la extradición a Italia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considera que la decisión de acceder a su extradición lesiona sus derechos fundamentales a la igualdad, a obtener la tutela judicial efectiva sin padecer indefensión y a que la resolución impugnada se acuerde únicamente tras un proceso con todas las garantías (arts.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ambos Autos, tanto el dictado por la Sección Primera, como el pronunciado por el Pleno de la Sala de lo Penal de la Audiencia Nacional. También se pretende por el recurrente la suspensión de la ejecución de ambas resoluciones que declaran procedente la extradición y, en definitiva, de la entrega del reclamado a las Autoridades requirentes hasta que se resuelva el recurso de amparo, de conformidad con lo dispuesto en el art. 56.1 LOTC, alegando que en otro caso no podrían asegurarse los efectos de una hipotética estimación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mayo de 2000, la Sala acordó la admisión a trámite de la demanda así como, a tenor de lo establecido en el art. 51 LOTC, requerir atentamente a la Sección Primera de la Sala de lo Penal para que en plazo de diez días remitieran testimonio del procedimiento, así como para que se emplazara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con la misma fecha, se acordó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pasado 10 de mayo tuvo entrada en este Tribunal el escrito de alegaciones del Ministerio Fiscal. En dicho escrito, el Ministerio Público sostiene la conveniencia de acceder a la suspensión interesada pues en otro caso, es decir, si el recurrente es entregado, perdería su finalidad el presente recurso con el que, en suma, lo que se pretende es cuestionar la legitimidad constitucional de la decisión que autoriza la extradición, sin que aparezca que la suspensión pueda originar una perturbación grave de los intereses generales o los derechos de un tercero. En apoyo de su tesis cita los AATC 210/1997, 279/1998, 291/1998,1/1999 y 41/1999, que resolvieron supuestos análogos.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mismo día 10 de mayo de 2000 se registró en este Tribunal el escrito de alegaciones del demandante de amparo, en el que, tras dar por reproducidas las contenidas en el primer otrosí de su escrito de interposición del recurso, al que hemos aludido anteriormente, resume las vulneraciones de derechos fundamentales que, a su parecer, han ocasionado las resoluciones de los órganos judiciales, por lo que interesa su suspensión puesto que, de no acordarse así, la hipotética concesión del amparo resultaría ilusoria y, por el contrario, acceder a la suspensión no entrañaría ningún riesgo en relación con la ejecución del expediente de extradición, habida cuenta de que el reclamado se encuentra en prisión por esta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Prevé el art. 56.1 LOTC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 En consecuencia, dada la naturaleza extraordinaria de la jurisdicción de amparo y los imperativos que derivan de la efectividad de la tutela judicial, la suspensión prevista en la LOTC se configura como una medida provisional de carácter excepcional y de aplicación restrictiva, aunque eso no significa que la existencia de un evidente interés en la ejecución de los fallos judiciales (art. 118 CE) pueda ser entendido de un modo tan rígido que siempre resulte inviable la suspensión de su ejecución. En este sentido, la mencionada afectación del interés general sólo será relevante si, en atención a las circunstancias del caso, a la naturaleza de la resolución judicial y al contenido del fallo, reviste la suficiente gravedad como para excluir de raíz la concesión de la suspensión (AATC 326/1996, 419/1997 y 182/1998,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como hemos venido haciendo en situaciones análogas (AATC 210/1997, 221/1998, 279/1998, 284/1998, 285/1998, 291/1998, 1/1999 y 41/1999) que, en los supuestos de extradición la ejecución de las resoluciones impugnadas puede convertir en ilusoria la eventual concesión del amparo, toda vez que si la persona requerida fuera entregada a las autoridades del Estado requirente, podría perder el amparo su finalidad, pues, en definitiva, su objeto es cuestionar la decisión de acceder a la extradición. En efecto -tal y como hemos reiterado- una vez que el recurrente se encuentre bajo la potestad de otro Estado, sería muy difícil que un eventual pronunciamiento estimatorio de este Tribunal por el que se anularan los Autos que acceden a la extradición pudiera tener plena eficacia en ese Estado.</w:t>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cautelar pueda originar una perturbación grave de los intereses generales ni de los derechos fundamentales o libertades públicas de un tercero. Como también hemos mantenido anteriormente (AATC 221/1998, 284/1998 y 285/1998) si bien es cierto que existen intereses generales que aconsejan tanto el cumplimiento de las resoluciones judiciales como el de los Tratados Internacionales, "dichos intereses no quedarán afectos por la suspensión provisional de unos Autos cuya ejecución inmediata provocaría consecuencias irreversibles". En todo caso, resulta también evidente que los intereses generales que concurren en la ejecución reclaman que el presente recurso se resuelva cuanto antes, incluso anteponiéndolo en el orden de señalamientos.</w:t>
      </w:r>
    </w:p>
    <w:p w:rsidRPr="00C21FFE" w:rsidR="00AD51A7" w:rsidRDefault="00AD51A7">
      <w:pPr>
        <w:rPr/>
      </w:pPr>
      <w:r w:rsidRPr="&lt;w:rPr xmlns:w=&quot;http://schemas.openxmlformats.org/wordprocessingml/2006/main&quot;&gt;&lt;w:lang w:val=&quot;es-ES_tradnl&quot; /&gt;&lt;/w:rPr&gt;">
        <w:rPr/>
        <w:t xml:space="preserve">Procede, pues, suspender la ejecución de los Autos impugnados, suspensión que se extiende única y exclusivamente, a la declaración de procedencia de la extradición ' acordada por los órganos judiciales, y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del Auto del Pleno de la Sala de lo Penal de la Audiencia Nacional de 13 de marzo de 2000, que al resolver el recurso de súplica presentado, confirmó el Auto de 14 de septiembre de</w:t>
      </w:r>
    </w:p>
    <w:p w:rsidRPr="" w:rsidR="00AD51A7" w:rsidRDefault="00AD51A7">
      <w:pPr>
        <w:rPr/>
      </w:pPr>
      <w:r w:rsidRPr="&lt;w:rPr xmlns:w=&quot;http://schemas.openxmlformats.org/wordprocessingml/2006/main&quot;&gt;&lt;w:szCs w:val=&quot;24&quot; /&gt;&lt;/w:rPr&gt;">
        <w:rPr/>
        <w:t xml:space="preserve">1999, dictado por la Sección Primera de dicha Sala (rollo de Sala número 7/99), por los que se declaró procedente la extradición a la República de Italia del demandante de amparo en el expediente de extradición número 6/99, sin que la suspensión alcance</w:t>
      </w:r>
    </w:p>
    <w:p w:rsidRPr="" w:rsidR="00AD51A7" w:rsidRDefault="00AD51A7">
      <w:pPr>
        <w:rPr/>
      </w:pPr>
      <w:r w:rsidRPr="&lt;w:rPr xmlns:w=&quot;http://schemas.openxmlformats.org/wordprocessingml/2006/main&quot;&gt;&lt;w:szCs w:val=&quot;24&quot; /&gt;&lt;/w:rPr&gt;">
        <w:rPr/>
        <w:t xml:space="preserve">a las medidas cautelares relativas a la situación personal de recurrente, cuya adopción o mantenimiento corresponde adoptar a la Audiencia Nacional.</w:t>
      </w:r>
    </w:p>
    <w:p w:rsidRPr="" w:rsidR="00AD51A7" w:rsidRDefault="00AD51A7">
      <w:pPr>
        <w:rPr/>
      </w:pPr>
      <w:r w:rsidRPr="&lt;w:rPr xmlns:w=&quot;http://schemas.openxmlformats.org/wordprocessingml/2006/main&quot;&gt;&lt;w:szCs w:val=&quot;24&quot; /&gt;&lt;/w:rPr&gt;">
        <w:rPr/>
        <w:t xml:space="preserve">2°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