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162</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junio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3919-2000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3919-2000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no acceder a la suspensión de los arts.  1.1; 2.2 j), k) y m); 3B; 5.Uno B) 1; 5.Dos A) 1; 7.7; 8.3; disposición adicional segunda y disposiciones transitorias primera y segunda del Real Decreto 324/2000, de 3 de marzo,</w:t>
            </w:r>
          </w:p>
          <w:p w:rsidRPr="00D13423" w:rsidR="00AD51A7" w:rsidRDefault="00AD51A7">
            <w:pPr>
              <w:rPr/>
            </w:pPr>
            <w:r w:rsidRPr="&lt;w:rPr xmlns:w=&quot;http://schemas.openxmlformats.org/wordprocessingml/2006/main&quot;&gt;&lt;w:color w:val=&quot;800080&quot; /&gt;&lt;w:szCs w:val=&quot;24&quot; /&gt;&lt;/w:rPr&gt;">
              <w:rPr/>
              <w:t xml:space="preserve">por el que se establecen normas básicas de ordenación de las explotaciones porcinas.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6 de julio de 2000, el Letrado de la Comunidad Autónoma de Aragón , en la representación que legalmente ostenta, promueve conflicto positivo de competencia contra los arts. 1.1; 2.2 j), k) y m); 3B; 5.Uno B) 1; 5.Dos A) 1; 7.7; 8.3; disposición adicional segunda y disposiciones transitorias primera y segunda del Real Decreto 324/2000, de 3 de marzo, por el que se establecen normas básicas de ordenación de las explotaciones porcinas.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dicha disposición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providencia de 25 de julio de 2000, acuerda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 la Sala de lo Contencioso-Administrativo del Tribunal Supremo, por si ante la misma estuviera impugnado o se impugnase dicho Real Decreto, en cuyo caso se suspenderá el curso del proceso hasta la decisión del conflicto, conceder al Abogado del Estado un plazo de veinte días para que pueda exponer lo que estime conveniente acerca de la suspensión del Real Decreto impugnado que se pide en otrosí en la demanda y publicar la incoación del conflicto en el Boletín Oficial del Estado y en el Boletín Oficial de Aragón.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10 de agosto de 2000. En dicho escrito se opone a la demanda y solicita que la Sentencia que se pronuncie la inadmita por falta de fundamentación del requerimiento de incompetencia o, subsidiariamente desestime el conflicto positivo de competencia y reconozca la competencia del Estado para dictar el Real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del Real Decreto impugnado,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El Abogado del Estado manifiesta que no cabe acceder a la petición del Gobierno de Aragón, pues no se dan los presupuestos que exige el Tribunal para su prosperabilidad. </w:t>
      </w:r>
    </w:p>
    <w:p w:rsidRPr="00C21FFE" w:rsidR="00AD51A7" w:rsidRDefault="00AD51A7">
      <w:pPr>
        <w:rPr/>
      </w:pPr>
      <w:r w:rsidRPr="&lt;w:rPr xmlns:w=&quot;http://schemas.openxmlformats.org/wordprocessingml/2006/main&quot;&gt;&lt;w:lang w:val=&quot;es-ES_tradnl&quot; /&gt;&lt;/w:rPr&gt;">
        <w:rPr/>
        <w:t xml:space="preserve">Así, alega que es requisito indispensable para que se acuerde la suspensión que la aplicación de la norma cause perjuicios de muy difícil o imposible reparación y que la situación perjudicial que se trata de evitar sea mayor que la que se produce con la suspensión (ATC 99/1981, FJ 1). Además, prosigue, no basta con la mera invocación de los pretendidos perjuicios, sino que es necesario que se acrediten o demuestren o, cuando menos, que se razone convincentemente sobre su existencia y sobre las dificultades que entraña su reparación (AATC 166/1982 y 167/1982), pues, en caso contrario, prevalecerá la presunción de constitucionalidad de la norma o acto objeto de conflicto (AATC 166/1982 y 183/1982). </w:t>
      </w:r>
    </w:p>
    <w:p w:rsidRPr="00C21FFE" w:rsidR="00AD51A7" w:rsidRDefault="00AD51A7">
      <w:pPr>
        <w:rPr/>
      </w:pPr>
      <w:r w:rsidRPr="&lt;w:rPr xmlns:w=&quot;http://schemas.openxmlformats.org/wordprocessingml/2006/main&quot;&gt;&lt;w:lang w:val=&quot;es-ES_tradnl&quot; /&gt;&lt;/w:rPr&gt;">
        <w:rPr/>
        <w:t xml:space="preserve">En el presente caso, dice el Abogado del Estado, no existen daños o perjuicios de difícil o imposible reparación, pues en principio no se causan y los que se pudieran causar tendrían carácter económico, con lo que siempre cabría su reparación. Además, estos daños serían, en todo caso, menores que los que se tratan de evitar con la aplicación de la norma, relativos a enfermedades porcinas y perjuicios en el medio ambiente. En todo caso, el Gobierno de Aragón no ha justificado convincentemente ni la causación de daños y perjuicios derivados de la aplicación de la norma impugnada ni la dificultad o imposibilidad de su reparación. Finalmente, el Abogado del Estado también aduce que desde la perspectiva de los intereses generales la normativa estatal impugnada busca la protección de la sanidad y del medio ambiente en las explotaciones porcinas, de modo que su inaplicación frustraría tales objetivos. </w:t>
      </w:r>
    </w:p>
    <w:p w:rsidRPr="00C21FFE" w:rsidR="00AD51A7" w:rsidRDefault="00AD51A7">
      <w:pPr>
        <w:rPr/>
      </w:pPr>
      <w:r w:rsidRPr="&lt;w:rPr xmlns:w=&quot;http://schemas.openxmlformats.org/wordprocessingml/2006/main&quot;&gt;&lt;w:lang w:val=&quot;es-ES_tradnl&quot; /&gt;&lt;/w:rPr&gt;">
        <w:rPr/>
        <w:t xml:space="preserve">Por todo lo expuesto, el Abogado del Estado solicita del Tribunal que acuerde la denegación de la petición de suspensión formulada por el Gobierno de Aragón.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los arts. 1.1; 2.2 j), k) y m); 3B; 5.Uno B) 1; 5.Dos A) 1; 7.7; 8.3; disposición adicional segunda y disposiciones transitorias primera y segunda del Real Decreto 324/2000, de 3 de marzo, por el que se establecen normas básicas de ordenación de las explotaciones porcinas. Dicha suspensión ha sido solicitada por la representación procesal del Gobierno de Aragón en su escrito de formalización del conflicto positivo de competencia frente a dicho Real Decreto.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no sólo la invocación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156/1996, de 11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los preceptos impugnados del Real Decreto 324/2000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del Real Decreto. De otro lado, manifiesta también que los verdaderos perjuicios se ocasionarían si no se aplicase aquélla por su incidencia en la sanidad de las explotaciones porcinas.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compartido.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resultarían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no acceder a la suspensión de los arts.  1.1; 2.2 j), k) y m); 3B; 5.Uno B) 1; 5.Dos A) 1; 7.7; 8.3; disposición adicional segunda y disposiciones transitorias primera y segunda del Real Decreto 324/2000, de 3 de marzo,</w:t>
      </w:r>
    </w:p>
    <w:p w:rsidRPr="" w:rsidR="00AD51A7" w:rsidRDefault="00AD51A7">
      <w:pPr>
        <w:rPr/>
      </w:pPr>
      <w:r w:rsidRPr="&lt;w:rPr xmlns:w=&quot;http://schemas.openxmlformats.org/wordprocessingml/2006/main&quot;&gt;&lt;w:szCs w:val=&quot;24&quot; /&gt;&lt;/w:rPr&gt;">
        <w:rPr/>
        <w:t xml:space="preserve">por el que se establecen normas básicas de ordenación de las explotaciones porcinas.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junio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