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26 de enero de 2001, don Juan Matey Barrera solicita el nombramiento de Abogado y Procurador del turno de oficio al objeto de interponer recurso de amparo contra la Sentencia dictada por el Juzgado de Instrucción núm. 4 de Torrejón de Ardoz el 26 de enero de 2000, así como contra la dictada por la Sección Decimoquinta de la Audiencia Provincial de Madrid el 7 de noviembre de 2000, en el rollo de apelación núm. 384-2000, en juicio de faltas por injurias y malos tratos de obra. </w:t>
      </w:r>
    </w:p>
    <w:p w:rsidRPr="00C21FFE" w:rsidR="00AD51A7" w:rsidRDefault="00AD51A7">
      <w:pPr>
        <w:rPr/>
      </w:pPr>
      <w:r w:rsidRPr="&lt;w:rPr xmlns:w=&quot;http://schemas.openxmlformats.org/wordprocessingml/2006/main&quot;&gt;&lt;w:lang w:val=&quot;es-ES_tradnl&quot; /&gt;&lt;/w:rPr&gt;">
        <w:rPr/>
        <w:t xml:space="preserve">Tras los trámites procesales oportunos, el 20 de abril de 2001 la Procuradora de los Tribunales doña Sofía Sainz Bajo formaliza la demanda de amparo. En la misma se denuncia la vulneración de los derechos a la tutela judicial efectiva, sin indefensión, así como los de defensa y a la asistencia letrada.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9 de octubre de 2001, acordó, respectivamente, la admisión a trámite de la demanda de amparo y la formación de pieza separada para la tramitación del incidente sobre suspensión, concediendo a la parte recurrente y al Ministerio Fiscal un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conferido mediante escrito registrado el 22 de octubre de 2001, en el que estima que no procede la suspensión solicitada. Dice, al efecto, que el actor ha sido condenado a dos penas de multa, con una suma total de nueve mil pesetas, y al abono de la mitad de las cosas procesales, y que a los pronunciamientos de contenido económico es de aplicación la reiterada doctrina constitucional de que no causan perjuicios irreparables, ya que es posible la íntegra restitución y reparación del perjuicio que se pudiera ocasionar. Por otra parte, nada se ha alegado sobre irreparabilidad de perjuicios económicos por la ejecución de los pronunciamientos de las Sentencias, que puedan hacer perder su finalidad al amparo impetrado.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actor no entregó escrito alguno evacuando el traslado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principio,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otros muchos). De acuerdo,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 y 41/2001).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la ejecución de las Sentencias cuyos efectos son fundamentalmente patrimoniales o de contenido económico ni causan un perjuicio irreparable al obligado al pago por la sentencia condenatoria, ni pueden hacer perder su finalidad al amparo, ya que admiten la restitución íntegra de lo ejecutado (AATC 573/1985, 574/1985, 275/1990, 281/1996, 313/1999, 272/2000, 18/2001 y 120/2001). Esta doctrina es igualmente aplicable a la condena en costas procesales, pues, al entrañar un pago en dinero, su ejecución no provoca ningún perjuicio que pueda hacer inútil el recurso de amparo (AATC 244/1991, 267/1995, 44/2001 y 159/2001,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resolución objeto del presente recurso el demandante de amparo fue condenado, como autor responsable de una falta de injurias y otra de malos tratos, a dos penas de multa de quince días, con una cuota diaria de trescientas pesetas, lo que suma un total de nueve mil pesetas, así como al pago de la mitad de las costas procesales. En caso de insolvencia responderá, conforme al art. 53 del Código Penal, con un día de privación de libertad por cada dos cuotas diarias no satisfechas.</w:t>
      </w:r>
    </w:p>
    <w:p w:rsidRPr="00C21FFE" w:rsidR="00AD51A7" w:rsidRDefault="00AD51A7">
      <w:pPr>
        <w:rPr/>
      </w:pPr>
      <w:r w:rsidRPr="&lt;w:rPr xmlns:w=&quot;http://schemas.openxmlformats.org/wordprocessingml/2006/main&quot;&gt;&lt;w:lang w:val=&quot;es-ES_tradnl&quot; /&gt;&lt;/w:rPr&gt;">
        <w:rPr/>
        <w:t xml:space="preserve">De conformidad con la doctrina expuesta no procede la suspensión de la Sentencia en lo atinente a los pronunciamientos de carácter patrimonial (multas y costas procesales), ya que ningún perjuicio irreparable ocasionaría su ejecución al ser posible su íntegra restitución en caso de estimarse el amparo (AATC 152/1996, 91/1997, 273/1998, 193/2000, 204/2000 y 159/2001).  Tampoco procede, en el momento actual, la suspensión de la responsabilidad subsidiaria para el caso de impago de la pena de multa, pues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 57 LOTC (AATC 107/1998, 136/1999, 227/1999, 245/1999, 61/2000 y 258/2000).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