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1641-2001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1641-2001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conflicto positivo de competencia núm. 1641-2001, al registrado con el núm.  1637-2001.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 la Generalidad de Cataluña, con fecha 22 de marzo de 2001, interpuso conflicto positivo de competencia, frente al Gobierno de la Nación, en relación con el Real Decreto 1909/2000, de 24 de noviembre, por el que se fija el complemento de destino de los funcionarios de los Cuerpos de médicos forenses, técnicos facultativos del Instituto de Toxicología, oficiales, auxiliares y agentes de la Administración de Justicia, técnicos especialistas, auxiliares de laboratorio del Instituto de Toxicología y agentes de laboratorio a extinguir del Instituto de Toxicología. </w:t>
      </w:r>
    </w:p>
    <w:p w:rsidRPr="00C21FFE" w:rsidR="00AD51A7" w:rsidRDefault="00AD51A7">
      <w:pPr>
        <w:rPr/>
      </w:pPr>
      <w:r w:rsidRPr="&lt;w:rPr xmlns:w=&quot;http://schemas.openxmlformats.org/wordprocessingml/2006/main&quot;&gt;&lt;w:lang w:val=&quot;es-ES_tradnl&quot; /&gt;&lt;/w:rPr&gt;">
        <w:rPr/>
        <w:t xml:space="preserve">Por providencia de 3 de abril de 2001, fue admitido a trámite el mencionado conflicto positivo de competencia, registrado con el número 1637-2001.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 la Junta de Andalucía, con fecha 22 de marzo de 2001, interpuso conflicto positivo de competencia en relación con el citado Real Decreto 1909/2000, de 24 de noviembre. </w:t>
      </w:r>
    </w:p>
    <w:p w:rsidRPr="00C21FFE" w:rsidR="00AD51A7" w:rsidRDefault="00AD51A7">
      <w:pPr>
        <w:rPr/>
      </w:pPr>
      <w:r w:rsidRPr="&lt;w:rPr xmlns:w=&quot;http://schemas.openxmlformats.org/wordprocessingml/2006/main&quot;&gt;&lt;w:lang w:val=&quot;es-ES_tradnl&quot; /&gt;&lt;/w:rPr&gt;">
        <w:rPr/>
        <w:t xml:space="preserve">Por providencia de 3 de abril de 2001, fue admitido a trámite el mencionado conflicto positivo de competencia, registrado con el número 1641-2001.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aparece personado, en nombre del Gobierno de la Nación, en ambos conflictos positivos de competencia, con formulación de alegaciones en las que solicita la desestimación de los mismos . Mediante otrosí a las presentadas en el conflicto de competencia registrado con el núm. 1641-2001, solicita la acumulación de éste al que se tramita con el número 1637, dado que ambos conflictos tiene por objeto el mismo Real Decreto.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22 de mayo de 2001, se acuerda oír a las representaciones procesales del Gobierno de la Generalidad de Cataluña y del Consejo de Gobierno de la Junta de Andalucía, que promovieron respectivamente los conflictos positivos de competencia núms. 1637-2001 y 1641-2001, para que, en el plazo de diez días, alegasen sobre la acumulación de los mismos, pedida por el Abogado del Estado en otrosí del escrito de alegaciones presentado el 4 de mayo de 2001, en el conflicto 1641-2001. </w:t>
      </w:r>
    </w:p>
    <w:p w:rsidRPr="00C21FFE" w:rsidR="00AD51A7" w:rsidRDefault="00AD51A7">
      <w:pPr>
        <w:rPr/>
      </w:pPr>
      <w:r w:rsidRPr="&lt;w:rPr xmlns:w=&quot;http://schemas.openxmlformats.org/wordprocessingml/2006/main&quot;&gt;&lt;w:lang w:val=&quot;es-ES_tradnl&quot; /&gt;&lt;/w:rPr&gt;">
        <w:rPr/>
        <w:t xml:space="preserve">Por su parte, el Abogado de la Generalidad de Cataluña en escrito presentado en este Tribunal con fecha 4 de Junio de 2001, solicita la acumulación de los conflictos positivos de competencia 1637-2001 y 1641-2001. </w:t>
      </w:r>
    </w:p>
    <w:p w:rsidRPr="00C21FFE" w:rsidR="00AD51A7" w:rsidRDefault="00AD51A7">
      <w:pPr>
        <w:rPr/>
      </w:pPr>
      <w:r w:rsidRPr="&lt;w:rPr xmlns:w=&quot;http://schemas.openxmlformats.org/wordprocessingml/2006/main&quot;&gt;&lt;w:lang w:val=&quot;es-ES_tradnl&quot; /&gt;&lt;/w:rPr&gt;">
        <w:rPr/>
        <w:t xml:space="preserve">Y asimismo el Abogado de la Junta de Andalucía en escrito de 7 de junio de 2001, formula alegaciones y solicita también la acumulación entre ambos conflictos positivos de competencia.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señalado este Tribunal en ocasiones anteriores,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propias palabras del legislador en el precepto citado,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dos conflictos positivos de competencia, referidos en los antecedentes, tienen el mismo objeto y, en ambos casos, los órganos ejecutivos de las Comunidades Autónomas que los plantean, invocan, en apoyo de sus pretensiones, similares fundamentaciones centradas en el presunto desconocimiento, por la norma impugnada, de los títulos competenciales autonómicos.</w:t>
      </w:r>
    </w:p>
    <w:p w:rsidRPr="00C21FFE" w:rsidR="00AD51A7" w:rsidRDefault="00AD51A7">
      <w:pPr>
        <w:rPr/>
      </w:pPr>
      <w:r w:rsidRPr="&lt;w:rPr xmlns:w=&quot;http://schemas.openxmlformats.org/wordprocessingml/2006/main&quot;&gt;&lt;w:lang w:val=&quot;es-ES_tradnl&quot; /&gt;&lt;/w:rPr&gt;">
        <w:rPr/>
        <w:t xml:space="preserve">Dándose, pues, los requisitos contemplados en el art. 83 LOTC, resulta justificada la unidad de tramitación y decisión de los procesos constitucionales indicados.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conflicto positivo de competencia núm. 1641-2001, al registrado con el núm.  1637-2001.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