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3581-2001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3581-2001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dictada por la Sala de lo Militar del Tribunal Supremo, de 9 de abril de 2001, tanto en lo relativo a la pena privativa de libertad de nueve meses de prisión, como a las accesorias legales.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25 de junio de 2001, doña Pilar Cendrero Mijarra, Procuradora de los Tribunales, y de don José Tizón Crespo, interpuso recurso de amparo contra la Sentencia de la Sala de lo Militar del Tribunal Supremo2001, que resuelve recurso de casación contra la dictada por el Tribunal Militar Territorial Cuarto, de fecha 21 de enero de 2000, en la que se condenaba al recurrente como autor de un delito de desobediencia.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Según consta en las resoluciones judiciales recurridas, el recurrente, Subteniente de Navío destinado en la Escuela Naval Militar de Marín, se negó, el día 10 de febrero de 1997, a obedecer de forma reiterada una orden de su superior (el Teniente de Navío don Carlos Pérez Santalla) en presencia de un grupo de Guardiamarinas que se encontraban en la piscina para recibir el curso de buceo. El día 12 de febrero de 1997, el Teniente de Navío eleva un parte al Ayudante Mayor de la Escuela Naval Militar, poniendo en su conocimiento los hechos y ese mismo día el Ayudante Mayor, tras oír al Suboficial, adopta una resolución en la que acuerda sancionarle como autor de una falta leve del art. 8 núm. 33 de la Ley Orgánica 12/1985, del Régimen Disciplinario de la Fuerzas Armadas, con ocho días de arresto, que se cumplen inmediatamente. Todo lo cual fue comunicado por el Comandante Director de la Escuela al Almirante Jefe de la Zona Marítima del Cantábrico, haciéndole saber que los hechos por los que había sido sancionado podían ser constitutivos de falta grave y así se estimó por el Coronel Auditor, cuyo informe determinó que el día 19 de febrero se incoara expediente disciplinario por falta grave, poniéndose los hechos en conocimiento del Fiscal Jurídico Militar Territorial Cuarto. En la tramitación de dicho expediente se informó con fecha 10 de marzo de que la conducta podía ser constitutiva de delito, remitiéndose el expediente al Juzgado Togado Militar Decano de La Coruña, al que también se había dirigido el Fiscal Jurídico Militar, solicitando la apertura de sumario, por ser los hechos constitutivos de un delito militar de desobediencia. </w:t>
      </w:r>
    </w:p>
    <w:p w:rsidRPr="00C21FFE" w:rsidR="00AD51A7" w:rsidRDefault="00AD51A7">
      <w:pPr>
        <w:rPr/>
      </w:pPr>
      <w:r w:rsidRPr="&lt;w:rPr xmlns:w=&quot;http://schemas.openxmlformats.org/wordprocessingml/2006/main&quot;&gt;&lt;w:lang w:val=&quot;es-ES_tradnl&quot; /&gt;&lt;/w:rPr&gt;">
        <w:rPr/>
        <w:t xml:space="preserve">b) Por los citados hechos es condenado, posteriormente, por Sentencia de la Sala de lo Penal del Tribunal Militar Territorial Cuarto, de fecha 21 de enero de 2000, como autor de un delito de desobediencia del art. 102, párrafos primero y segundo, del CP militar a la pena de un año y seis meses de prisión, con las accesorias de suspensión de empleo y cargo público y del derecho de sufragio pasivo durante el tiempo de la pena principal, para cuyo cumplimiento se le abona cualquier tiempo pasado privado de libertad por los mismos hechos. </w:t>
      </w:r>
    </w:p>
    <w:p w:rsidRPr="00C21FFE" w:rsidR="00AD51A7" w:rsidRDefault="00AD51A7">
      <w:pPr>
        <w:rPr/>
      </w:pPr>
      <w:r w:rsidRPr="&lt;w:rPr xmlns:w=&quot;http://schemas.openxmlformats.org/wordprocessingml/2006/main&quot;&gt;&lt;w:lang w:val=&quot;es-ES_tradnl&quot; /&gt;&lt;/w:rPr&gt;">
        <w:rPr/>
        <w:t xml:space="preserve">c) Contra la anterior resolución se interpone recurso de casación, parcialmente estimado por la Sentencia de la Sala Quinta de lo Militar del Tribunal Supremo, de 9 de abril de 2001, que aceptando los hechos y fundamentos de derecho de la sentencia recurrida, casa y anula la anterior resolución, al apreciar indebida aplicación del párrafo segundo del art. 102 CP Militar, dictando una nueva sentencia en la que se condena al recurrente exclusivamente por el delito de desobediencia del párrafo primero del art. 102 CPM, a la pena de nueve meses de prisión, con las accesorias legales de suspensión de empleo y cargo público y del derecho de sufragio pasivo durante el tiempo de la pena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las resoluciones judiciales recurridas por vulneración del derecho del recurrente a la legalidad penal (art. 25.1 CE), en relación con el principio non bis in idem, o subsidiariamente de los derechos a la presunción de inocencia (art. 24.2 CE), a un proceso con todas las garantías (art. 24.2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se deje en suspenso la ejecución de la sentencia, alegando que la misma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diciembre de 2002, la Sección Segunda de este Tribunal acordó la admisión a trámite de la demanda así como, a tenor de lo establecido en el artículo 51 LOTC, requerir atentamente a los órganos judiciales para que remitieran testimonio de las actuaciones, interesando igualmente que se emplazara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artículo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diciembre de 2002 se registró en este Tribunal el escrito de alegaciones del demandante de amparo, en el que reitera la solicitud de suspensión de la ejecución de la pena privativa de libertad y sus accesorias legales, por entender que el perjuicio que produciría el cumplimiento sería irreparable, caso de otorgarse el amparo solicitado, ante la escasa duración de la pena impuesta. A ello se añaden algunas reflexiones sobre las peculiares circunstancias del caso, relativas a la situación personal del recurrente, a la imposibilidad de suspensión de la pena impuesta por el propio Tribunal Militar, a la carencia de antecedentes del condenado y a la inexistencia de riesgo de fuga.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12 de diciembre de 2002, tuvo entrada en este Tribunal el escrito de alegaciones del Ministerio Fiscal, en el que se sostiene la conveniencia de acceder a la suspensión solicitada respecto al cumplimiento de la pena privativa de libertad y de las accesorias. Entiende el Fiscal, sobre la base de la doctrina constitucional, que la ejecución de la pena privativa de libertad de nueve meses de prisión podría generar perjuicios irreparables para el demandante, destacando que la pena impuesta es poco grave, la alarma social del delito escasa, que el actor carece de antecedentes y que no siquiera ha sufrido prisión provisional por esta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la procedencia de la suspensión de la ejecución de la pena privativa de libertad impuesta, pues si se compara la duración de la misma (nueve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se trata de un delincuente primario), no se aprecia que acceder a la suspensión solicitada ocasione una lesión específica y grave del interés general, más allá de aquélla que de por sí produce la no ejecución de un fallo judicial (AATC 163/1996, 419/1997, 48/1998, 262/1998, 106/2002).  Igualmente procede la suspensión de las penas accesorias legales de suspensión de empleo y cargo público y del derecho de sufragio pasivo durante el tiempo de la condena, pues, como señala el Ministerio Fiscal, conforme a nuestra Jurisprudencia las penas accesorias han de seguir la misma suerte que la principal (AATC 114/1984, 267/1995, 286/1997, 258/2000, 63/2001, 106/2002).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dictada por la Sala de lo Militar del Tribunal Supremo, de 9 de abril de 2001, tanto en lo relativo a la pena privativa de libertad de nueve meses de prisión, como a las accesorias legales.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