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penas de privación de libertad impuestas al recurrente por la Sentencia dictada por la Sección Cuarta de la Audiencia Provincial de Cádiz el 23 de julio de 2002 (rollo de apelación núm. 17-2002), junto a las accesorias</w:t>
            </w:r>
          </w:p>
          <w:p w:rsidRPr="00D13423" w:rsidR="00AD51A7" w:rsidRDefault="00AD51A7">
            <w:pPr>
              <w:rPr/>
            </w:pPr>
            <w:r w:rsidRPr="&lt;w:rPr xmlns:w=&quot;http://schemas.openxmlformats.org/wordprocessingml/2006/main&quot;&gt;&lt;w:color w:val=&quot;800080&quot; /&gt;&lt;w:szCs w:val=&quot;24&quot; /&gt;&lt;/w:rPr&gt;">
              <w:rPr/>
              <w:t xml:space="preserve">legales.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lo que respecta a los demás pronunciamientos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14 de octubre de 2002, el Procurador de los Tribunales don Luciano Rosch Nadal, en nombre y representación de don Miguel Castro Hernández, interpone recurso de amparo contra la Sentencia dictada por la Sección Cuarta de la Audiencia Provincial de Cádiz el 23 de julio de 2002, que revocó en apelación (rollo núm. 17-2002) la dictada por el Juzgado de lo Penal núm. 2 de Cádiz (recurso de amparo núm. 79/98), en causa seguida por delitos de falsedad y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24 de febrero de 2003, la Sección Primera acordó, respectivamente, admitir a trámite la demanda de amparo y la apertura de pieza separada para la tramitación del incidente sobre suspensión de la ejecución, concediendo al demandante de amparo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parte, mediante escrito registrado el 28 de febrero de 2003, formula sus alegaciones, iterando la solicitud de suspensión de la ejecución, tanto de las penas privativas de libertad como las de carácter económico, por entender que en todos los casos el perjuicio que podría producirse es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3 de marzo de 2003. En dicha escrito, de conformidad con la doctrina constitucional aplicable, interesó la suspensión de las penas privativas de libertad y accesorias,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219/1996, 419/1997, 274/1998, 117/1999, 227/1999, 292/2000, 41/2001, 155/2002 y 7/2003).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(AATC 573/1985, 574/1985, 275/1990 y 106/2002, por todos). Esta doctrina resulta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Sin embargo, y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otros muchos, AATC 144/1984, 267/1995, 7/1996, 152/1996, 87/1997, 286/1997, 182/1998, 271/1998, 114/2000, 286/2000, 63/3. En la resolución objeto del presente recurso el demandante de amparo fue condenado, como autor responsable de un delito de falsedad en documento mercantil y de otro de estafa, a las penas de dos años de prisión menor y multa de 6.010,12 €, con arresto personal sustitutorio de dieciséis días en caso de impago, por el primero, y cuatro meses de prisión menor, por el segundo, con la accesoria de inhabilitación especial de suspensión de cargo público y ejercicio del derecho de sufragio durante el tiempo de la condena, así como al pago de 150.253,03 € de indemnización al perjudicado y costas procesales.</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lugar, la suspensión de la ejecución de las penas privativas de libertad. La aplicación al caso de la doctrina reseñada anteriormente obliga a considerar, teniendo en cuenta la duración de las penas privativas de libertad impuestas,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106/2002, 165/2002 y 8/2003, entre los últimos). Igualmente procede la suspensión de las penas accesorias de suspensión de cargo público y del derecho de sufragio durante el tiempo de la condena pues, conforme a nuestra jurisprudencia las penas accesorias han de seguir en principio la misma suerte que la principal (AATC 248/2001, 305/2001, 22/2002, 106/2002, 273/2002 y 8/2003). Del mismo modo, de no acordar la suspensión, resultaría evidente la parcial pérdida de la finalidad del amparo que inevitablemente conlleva el cumplimiento de la pena mientras dura la tramitación del presente proceso (AATC 88/1981, 486/1983, 476/1984, 53/1992, 196/1995, 214/1995, 312/1995, 121/1996, 226/1996, 228/1996, 310/1996, 394/1996, 47/1998, 48/1998 y 208/1998).</w:t>
      </w:r>
    </w:p>
    <w:p w:rsidRPr="00C21FFE" w:rsidR="00AD51A7" w:rsidRDefault="00AD51A7">
      <w:pPr>
        <w:rPr/>
      </w:pPr>
      <w:r w:rsidRPr="&lt;w:rPr xmlns:w=&quot;http://schemas.openxmlformats.org/wordprocessingml/2006/main&quot;&gt;&lt;w:lang w:val=&quot;es-ES_tradnl&quot; /&gt;&lt;/w:rPr&gt;">
        <w:rPr/>
        <w:t xml:space="preserve">En segundo lugar, no procede la suspensión de la Sentencia en lo atinente a los pronunciamientos sobre indemnización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no se ha acreditado la irreparabilidad del perjuicio derivado de la ejecución por la concurrencia de circunstancias especiales. El recurrente no aporta prueba alguna sobre dificultades económicas para hacer frente al pago de la cantidad en cuestión y, como reiteradamente hemos sostenido, la acreditación del perjuicio es carga del recurrente, quien debe además probar, o al menos justificar ofreciendo un principio razonable de prueba, la irreparabilidad del perjuicio (por todos, AATC 253/1995, 72/1997, 93/2002, 165/2002, 7/2003 y 26/2003).</w:t>
      </w:r>
    </w:p>
    <w:p w:rsidRPr="00C21FFE" w:rsidR="00AD51A7" w:rsidRDefault="00AD51A7">
      <w:pPr>
        <w:rPr/>
      </w:pPr>
      <w:r w:rsidRPr="&lt;w:rPr xmlns:w=&quot;http://schemas.openxmlformats.org/wordprocessingml/2006/main&quot;&gt;&lt;w:lang w:val=&quot;es-ES_tradnl&quot; /&gt;&lt;/w:rPr&gt;">
        <w:rPr/>
        <w:t xml:space="preserve">4. Por último, tampoco procede suspender la ejecución de la pena de multa, por tener también naturaleza y contenido económico perfectamente resarcible en caso de estimarse el amparo (AATC 193/2000, 204/2000, 245/2001, 106/2002, entre otros), ni el arresto sustitutorio previsto para el caso de impago de la multa, dado que se trata de una eventualidad incierta para el caso de que la multa no llegue a ser abonada voluntariamente o por la vía de apremio, y que podría dar lugar a la modificación de la medida cautelar que ahora se adopta, en virtud del art. 57 LOTC (ATC 136/1999).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las penas de privación de libertad impuestas al recurrente por la Sentencia dictada por la Sección Cuarta de la Audiencia Provincial de Cádiz el 23 de julio de 2002 (rollo de apelación núm. 17-2002), junto a las accesorias</w:t>
      </w:r>
    </w:p>
    <w:p w:rsidRPr="" w:rsidR="00AD51A7" w:rsidRDefault="00AD51A7">
      <w:pPr>
        <w:rPr/>
      </w:pPr>
      <w:r w:rsidRPr="&lt;w:rPr xmlns:w=&quot;http://schemas.openxmlformats.org/wordprocessingml/2006/main&quot;&gt;&lt;w:szCs w:val=&quot;24&quot; /&gt;&lt;/w:rPr&gt;">
        <w:rPr/>
        <w:t xml:space="preserve">legales.</w:t>
      </w:r>
    </w:p>
    <w:p w:rsidRPr="" w:rsidR="00AD51A7" w:rsidRDefault="00AD51A7">
      <w:pPr>
        <w:rPr/>
      </w:pPr>
      <w:r w:rsidRPr="&lt;w:rPr xmlns:w=&quot;http://schemas.openxmlformats.org/wordprocessingml/2006/main&quot;&gt;&lt;w:szCs w:val=&quot;24&quot; /&gt;&lt;/w:rPr&gt;">
        <w:rPr/>
        <w:t xml:space="preserve">2º. Denegar la suspensión de la ejecución en lo que respecta a los demás pronunciamientos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diecisiete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