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Sección Decimoséptima de la Audiencia Provincial de Madrid de 5 de diciembre de 2001, dictada en el recurso de apelación núm 3792001.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febrero de 2002, don Antonio Piña Ramírez, Procurador de los Tribunales, en nombre de don Pablo Muriel Urdinguio, interpuso recurso de amparo contra la Sentencia de 5 de diciembre de 2001, de la Audiencia Provincial de Madrid, Sección Decimoséptima, que resuelve recurso de apelación contra la dictada por el Juzgado de Instrucción núm. 6 de esa ciudad, en el juicio de faltas 325-2001, seguido por falta de malos tratos y amenazas.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inicialmente absuelto de las faltas de malos tratos y amenazas de las que era acusado por su esposa, en virtud de Sentencia del Juzgado de Instrucción núm. 6 de Madrid, de 27 de abril de 2001, por falta de prueba suficiente y ante las versiones contradictorias de los implicados.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por el Ministerio Fiscal alegando, sustancialmente, el error sufrido en la Sentencia al valorar la prueba practicada en el juicio oral, recurso estimado por Sentencia de la Audiencia Provincial de Madrid, Sección Decimoséptima, de 5 de diciembre de 2001. Dicha Sentencia, sin celebración de nueva vista, considera que se ha producido error en la apreciación de la prueba, ya que el juzgador no ha dado credibilidad alguna a los testimonios de la denunciante y del testigo mientras que por el contrario otorga una verosimilitud integral a la versión del marido denunciado. Sin embargo, queda probado que el acusado ha venido amenazando a su esposa Isabel desde la fecha en que se firmó el convenio regulador, por las siguientes razones: Isabel lo manifestó así tanto en el acto de la denuncia como en el del juicihermana también sin vacilaciones ni contradicciones de ningún tipo. Por todo ello, condena al demandante de amparo como autor de dos faltas de los arts. 617.2 y 620.2 CP a sendas penas de multa y a una pena de alejamiento por tiempo de seis meses, conforme a lo dispuesto en el art. 57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el derecho del recurrente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se deje en suspenso la ejecución de la Sentencia, alegando que el cumplimiento de la pena de alejamiento supondría una grave dificultad para el cumplimiento del régimen de visitas que tiene concedido para comunicar con su hijo de cuatro años de 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junio de 2003, la Sección Segunda de este Tribunal acordó la admisión a trámite de la demanda así como, a tenor de lo establecido en el art. 51 LOTC, requerir atentamente al Juzgado de Instrucción núm. 6 de Madrid y a la Audiencia Provincial de Madrid (Sección Decimoséptima) para que remitiera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19 de junio de 2003, realiza sus alegaciones el demandante de amparo, quien reitera la solicitud de suspensión de la ejecución de la pena de alejamiento por un plazo de seis meses. Argumenta que la corta duración de la misma y el tipo de condena haría perder al amparo su finalidad caso de no accederse a la suspensión solicitada y que este criterio ha sido seguido en numerosas ocasiones por el Tribunal Constitucional (últimamente STC 68/2003, de 9 de abril). La ejecución de la pena de alejamiento podría dificultar el régimen de visitas establecido, provocando problemas que ahora no existen.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27 de junio de 2003 tuvo entrada en este Tribunal el escrito de alegaciones del Ministerio Fiscal. En dicho escrito, tras un breve relato de los antecedentes procesales del caso y de la doctrina de este Tribunal, se sostiene que no debe accederse a la suspensión de las penas impuestas, puesto que las alegaciones del demandante de amparo carecen de consistencia para enervar la regla general de que (ATC 215/1999) dado el interés existente en la ejecución de las resoluciones judiciales dictadas en el ejercicio de la potestad jurisdiccional, la suspensión de las mismas se configura como una medida excepcional y de aplicación restrictiva, salvo cuando las resoluciones impugnadas imponen penas de privación de libertad. De un lado, el cumplimiento de las penas de naturaleza pecuniaria no implica la existencia de perjuicio que no pueda repararse si se otorga el amparo que se pide, y, de otro, el cumplimiento de la pena de alejamiento lo que impide o dificulta es (art. 48 CP) la comunicación con la víctima de la infracción, que es la esposa del demandante de amparo, pero no con el hijo de ambos.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Sentencia objeto del presente recurso el demandante de amparo fue condenado, como autor de una falta de maltrato leve y otra de amenazas a su esposa, al pago de dos multas; una de veinte días a razón de 200 pesetas de cuota diaria y otra de treinta días a razón también de cuota diaria de 200 pesetas y al pago de las costas causadas en la instancia. Asimismo fue condenado a permanecer alejado de aquella durante un plazo de seis meses.</w:t>
      </w:r>
    </w:p>
    <w:p w:rsidRPr="00C21FFE" w:rsidR="00AD51A7" w:rsidRDefault="00AD51A7">
      <w:pPr>
        <w:rPr/>
      </w:pPr>
      <w:r w:rsidRPr="&lt;w:rPr xmlns:w=&quot;http://schemas.openxmlformats.org/wordprocessingml/2006/main&quot;&gt;&lt;w:lang w:val=&quot;es-ES_tradnl&quot; /&gt;&lt;/w:rPr&gt;">
        <w:rPr/>
        <w:t xml:space="preserve">Hay que advertir que es evidente la parcial pérdida de la finalidad del amparo que inevitablemente conlleva el cumplimiento de la pena mientras dura la tramitación del presente proceso (AATC 88/1981, 468/1983, 476/1984, 53/1992, 196/1995, 214/1995, 312/19995, 121/1996, 226/1996, 310/1996, 394/19996: 47/1998, 48/1998 y 208/1998). Por otra lado, debe denegarse la suspensión "cuando de ésta pueda seguirse perturbación...de los derechos fundamentales o libertades públicas de un tercero"(inciso último del art. 56.1 LOTC).</w:t>
      </w:r>
    </w:p>
    <w:p w:rsidRPr="00C21FFE" w:rsidR="00AD51A7" w:rsidRDefault="00AD51A7">
      <w:pPr>
        <w:rPr/>
      </w:pPr>
      <w:r w:rsidRPr="&lt;w:rPr xmlns:w=&quot;http://schemas.openxmlformats.org/wordprocessingml/2006/main&quot;&gt;&lt;w:lang w:val=&quot;es-ES_tradnl&quot; /&gt;&lt;/w:rPr&gt;">
        <w:rPr/>
        <w:t xml:space="preserve">Esto nos lleva a denegar la suspensión de la ejecución de la pena de alejamiento de su esposa durante seis meses, porque la imposición en la Sentencia de la misma tiene por objeto proteger la integridad física de aquélla - que constituye, asimismo, un derecho fundamental- frente a eventuales nuevos ataques, y la restricción de la libertad deambulatoria del actor por dicha pena es mínima, pudiendo compatibilizarse con el mantenimiento del régimen de visitas al hijo de ambos, puesto que, como dice el Ministerio Fiscal, lo que se dificulta es la comunicación con la víctima, pero no con aquél; siguiendo así el criterio del ATC 53/2003, dictado en la pieza de suspensión del recurso de amparo núm 1926- 2002.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tampoco, la suspensión del fallo condenatorio en lo que se refiere a las penas de multa; y ello de conformidad con el consolidado criterio de este Tribunal, según el cual, al tratarse de una condena de contenido exclusivamente económico o patrimonial, los perjuicios anejos a su ejecución son perfectamente reparables en el caso de una eventual estimación del recurso de amparo (AATC 152/1996, 371/1996, 91/1997, 181/1998, 182/1998, 273/1998, 189/2000, 193/2000, 204/2000, 106/2002).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Sección Decimoséptima de la Audiencia Provincial de Madrid de 5 de diciembre de 2001, dictada en el recurso de apelación núm 3792001.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