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4169-2002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al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4 de julio de 2002 el Procurador de los Tribunales don Ramón Rodríguez Nogueira, en nombre y representación de doña Juana Marzal Martínez, interpuso recurso de amparo contra la Sentencia dictada por la Sección Novena de la Audiencia Provincial de Valencia el día 8 de junio de 2002 por la que, desestimando el recurso de apelación interpuesto frente a la Sentencia de 9 de noviembre de 2001 del Juzgado de Primera Instancia núm. 1 de Gandía, se confirma la Sentencia de primera instancia y, por tanto,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doña Juana Marzal Martínez, Secretaria de Administración Local con habilitación de carácter nacional, en reclamación de 150.000 pesetas en concepto de cuotas colegiales no abonadas. </w:t>
      </w:r>
    </w:p>
    <w:p w:rsidRPr="00C21FFE" w:rsidR="00AD51A7" w:rsidRDefault="00AD51A7">
      <w:pPr>
        <w:rPr/>
      </w:pPr>
      <w:r w:rsidRPr="&lt;w:rPr xmlns:w=&quot;http://schemas.openxmlformats.org/wordprocessingml/2006/main&quot;&gt;&lt;w:lang w:val=&quot;es-ES_tradnl&quot; /&gt;&lt;/w:rPr&gt;">
        <w:rPr/>
        <w:t xml:space="preserve">b) La Sra. Marzal Martínez se opuso a la demanda alegando por vía de excepción la falta de legitimidad constitucional de la obligatoriedad de la pertenencia al Colegio, la cual fue rechazada en Sentencia dictada el 9 de noviembre de 2001 por el Juzgado de Primera Instancia núm. 1 de Gandía, que en consecuencia estimó la demanda. </w:t>
      </w:r>
    </w:p>
    <w:p w:rsidRPr="00C21FFE" w:rsidR="00AD51A7" w:rsidRDefault="00AD51A7">
      <w:pPr>
        <w:rPr/>
      </w:pPr>
      <w:r w:rsidRPr="&lt;w:rPr xmlns:w=&quot;http://schemas.openxmlformats.org/wordprocessingml/2006/main&quot;&gt;&lt;w:lang w:val=&quot;es-ES_tradnl&quot; /&gt;&lt;/w:rPr&gt;">
        <w:rPr/>
        <w:t xml:space="preserve">c) Planteado recurso de apelación por la Sra. Marzal Martínez contra la referida Sentencia, el mismo fue desestimado en la dictada el 8 de junio de 2002 por la Sección Novena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alega en su demanda de amparo que la resolución judicial combatida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 la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pública por su condición de funcionarios.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encontrar amparo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la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diciembre de 2003 la Sala Segunda de este Tribunal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26 de diciembre de 2003 presentó su escrito de alegaciones el Ministerio Fiscal. En él manifiesta, en primer lugar, que la medida de no suspensión y la obligación consiguiente de pagar las cuotas debidas no supone que el Tribunal Constitucional entienda que no se ha vulnerado el derecho de asociación o el derecho a la igualdad. Resalta el carácter excepcional de la medida de suspensión de resoluciones judiciales y que es doctrina de este Tribunal que no procede la suspensión de las que admiten la restitución íntegra de lo ejecutado, como sucede con los pronunciamientos de efectos exclusivamente patrimoniales. En el caso que nos ocupa estamos ante un supuesto de perjuicio meramente económico, y además no hay riesgo de impago en caso de estimación del amparo, dada la nimiedad de la cantidad y la solvencia de la acreedora. Recuerda finalmente que un caso similar al presente ha sido resuelto por los AATC 159/2002, 169/2002, 227/2002 y el ATC de 7 de abril de 2003 en el recurso de amparo 2960/2002, en el sentido de no acordar la suspensión solicitada. En consecuencia el Fiscal interesa que se deniegue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fecha 15 de enero de 2004 se dejó constancia de la presentación del anterior escrito del Ministerio Fiscal, así como de la falta de presentación del escrito de alegaciones por la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un lado, de los intereses generales y de los derechos fundamentales de terceros, cuya perturbación grave o lesión actúa como límite de la adopción de la medida cautelar, y, de otro lado, del interés particular del demandante de amparo, que alega a su vez la lesión de un derecho fundamental. En tal aspecto es el potencial perjudicado quien ha de justificar el riesgo o peligro de perjuicio, pues, aunque la viabilidad de la demanda sirva para apreciar una inicial apariencia de buen derecho de las pretensiones en ella contenidas, también se requiere la justificación de un riesgo o peligro de que, de no acordarse la suspensión de la ejecución de la resolución impugnada en amparo, se ocasionaría al demandante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sentido hemos entendido que sólo hay peligro o riesgo de perjuicio irreparable cuando la ejecución prevista del acto recurrido pueda provocar que el posterior y eventual restablecimiento del recurrente en el derecho constitucional vulnerado, en el supuesto de que el amparo sea otorgado, resulte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derecho del demandante de amparo a que no le sean cobradas las cuotas que reclama el Colegio de Secretarios, Interventores y Tesoreros de Administración local con habilitación nacional de la provincia de Valencia. Lo que se pretende, con la suspensión de la ejecución de la Sentencia que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indica la doctrina constitucional (ver AATC 159/2002; 169/2002; 227/2002 y 248/2003, que resuelven peticiones de suspensión coincidentes con la presente), sacrificando el interés del recurrente, porque éste sería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al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