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Sentencias impugnadas, que condenaron al recurrente a pena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21 de marzo de 2003, don Argimiro Vázquez Guillén, Procurador de los Tribunales y de don Plácido García Ortiz, interpuso recurso de amparo constitucional contra la resolución judicial reseñada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El demandante fue condenado a una pena de treinta días de multa a razón de 6 euros día, como autor de una falta de desobediencia a los agentes de la autoridad, mediante Sentencia del Juzgado de Instrucción núm. 5 de Mataró, sin haber sido citado personalmente al juicio; interpuesto recurso de apelación contra la citada resolución, la Audiencia Provincial de Barcelona, ratificó la sentencia de instancia, al entender que las citaciones fueron realizadas correctamente. Contra esta Sentencia acudió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 su derecho fundamental a la tutela judicial efectiva y su derecho a no padecer indefensión. Entiende el recurrente que, a pesar de haber facilitado su domicilio a efecto de notificaciones, el Juzgado de Instrucción núm. 5 de Mataró cometió un error en las citaciones al juicio, ya que las notificaciones se realizaron en el domicilio de su hijo, citando a éste a comparecer, en lugar del recurrente, por tanto, alega que nunca tuvo conocimiento de la celebración del juicio en primera instancia, lo que le ocasionó indefensión. 4. Por medio de otrosí el actor solicitó, de acuerdo con lo dispuesto en el art. 56 LOTC, la suspensión de la ejecución de las sentencias impugnadas, pues de lo contrario se le ocasionaría un grave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5. La Sección Segunda de este Tribunal acordó, mediante providencia de 23 de marzo de 2004, la admisión a trámite de la demanda de amparo y, asimismo, a tenor de lo dispuesto en el art. 51 LOTC, ordenó que se requiriese atentamente a la Sección Segunda de la Audiencia Provincial de Barcelona, y al Juzgado de Instrucción núm. 5 de Mataró, para que en el plazo de diez días se emplazara a quienes habían sido parte en el proceso por faltas núm. 369-2002, así como en el rollo de apelación núm. 38-2003, a excepción del recurrente de amparo, que aparece ya personado, para que en el plazo de diez días pudieran comparecer en el presente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6. Por nuevo proveído de la misma fecha, la mencionada Sección acordó formar la presente pieza separada de suspensión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12 de abril de 2004. En él sostenía que, de acuerdo con la constante jurisprudencia de este Tribunal, por todos ATC 41/2002, se ha establecido como criterio general la improcedencia de la suspensión de la ejecución de aquellos fallos judiciales que admiten la restitución íntegra de lo ejecutado como, por lo general, sucede en las condenas de efectos meramente patrimoniales, que por tener un contenido económico, no producen perjuicios de imposible reparación. Estima el Ministerio Fiscal, que la aplicación al presente caso de la doctrina expuesta, obliga a considerar que al ser la pena impuesta de carácter pecuniario, no resultaría procedente la suspensión solicitada; no obstante, continúa afirmando que, en el supuesto de que hubiere de sustituirse el pago por la correspondiente responsabilidad personal, si se compara la duración de la pena privativa de libertad con el tiempo que requiere la tramitación de un proceso como el presente, la no suspensión ocasionaría un perjuicio irreparable, que dejaría totalmente en entredicho la eficacia de un eventual fallo estimatorio. Finaliza solicitando la denegación de la suspensión, salvo que el pago de la multa sea sustituido por la correspondiente responsabilidad personal subsidiaria. </w:t>
      </w:r>
    </w:p>
    <w:p w:rsidRPr="00C21FFE" w:rsidR="00AD51A7" w:rsidRDefault="00AD51A7">
      <w:pPr>
        <w:rPr/>
      </w:pPr>
      <w:r w:rsidRPr="&lt;w:rPr xmlns:w=&quot;http://schemas.openxmlformats.org/wordprocessingml/2006/main&quot;&gt;&lt;w:lang w:val=&quot;es-ES_tradnl&quot; /&gt;&lt;/w:rPr&gt;">
        <w:rPr/>
        <w:t xml:space="preserve">8. El recurrente no ha realizado alegaciones en el presente trámite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 doctrina, este Tribunal ha establecido, tal y como recuerda el Ministerio Fiscal,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En el presente caso, es evidente, que la pena principal impuesta al recurrente es de contenido exclusivamente patrimonial, treinta días de multa a razón de 6 euros día, y por tanto, en aplicación de dicha doctrina, no procede sino denegar la suspensión solicitada. La hipotética responsabilidad personal subsidiaria a la que alude el Ministerio Fiscal en sus alegaciones, para el caso de impago de la multa impuesta, no deja de ser, por ahora, una responsabilidad no exigible, y que si lo llegara a ser, podría el recurrente solicitar la suspensión de la ejecución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Sentencias impugnadas, que condenaron al recurrente a pena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